
<file path=[Content_Types].xml><?xml version="1.0" encoding="utf-8"?>
<Types xmlns="http://schemas.openxmlformats.org/package/2006/content-types">
  <Default Extension="png" ContentType="image/png"/>
  <Override PartName="/docMetadata/LabelInfo.xml" ContentType="application/vnd.ms-office.classificationlabel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823" w:rsidRPr="006C1EC7" w:rsidRDefault="00781823" w:rsidP="002D4C74">
      <w:pPr>
        <w:jc w:val="center"/>
        <w:rPr>
          <w:color w:val="0070C0"/>
        </w:rPr>
      </w:pPr>
      <w:r w:rsidRPr="00781823">
        <w:rPr>
          <w:noProof/>
          <w:lang w:eastAsia="en-GB"/>
        </w:rPr>
        <w:drawing>
          <wp:inline distT="0" distB="0" distL="0" distR="0">
            <wp:extent cx="1390650" cy="1092654"/>
            <wp:effectExtent l="0" t="0" r="0" b="0"/>
            <wp:docPr id="207838715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8756" cy="1099023"/>
                    </a:xfrm>
                    <a:prstGeom prst="rect">
                      <a:avLst/>
                    </a:prstGeom>
                    <a:noFill/>
                    <a:ln>
                      <a:noFill/>
                    </a:ln>
                  </pic:spPr>
                </pic:pic>
              </a:graphicData>
            </a:graphic>
          </wp:inline>
        </w:drawing>
      </w:r>
      <w:r w:rsidRPr="00781823">
        <w:rPr>
          <w:lang w:val="en-US"/>
        </w:rPr>
        <w:br/>
      </w:r>
    </w:p>
    <w:p w:rsidR="002D4C74" w:rsidRPr="006C1EC7" w:rsidRDefault="002D4C74" w:rsidP="002D4C74">
      <w:pPr>
        <w:pStyle w:val="paragraph"/>
        <w:spacing w:before="0" w:beforeAutospacing="0" w:after="0" w:afterAutospacing="0"/>
        <w:textAlignment w:val="baseline"/>
        <w:rPr>
          <w:rStyle w:val="eop"/>
          <w:rFonts w:asciiTheme="minorHAnsi" w:eastAsiaTheme="majorEastAsia" w:hAnsiTheme="minorHAnsi" w:cstheme="minorHAnsi"/>
          <w:color w:val="0070C0"/>
          <w:sz w:val="28"/>
          <w:szCs w:val="28"/>
        </w:rPr>
      </w:pPr>
      <w:r w:rsidRPr="006C1EC7">
        <w:rPr>
          <w:rStyle w:val="normaltextrun"/>
          <w:rFonts w:asciiTheme="minorHAnsi" w:eastAsiaTheme="majorEastAsia" w:hAnsiTheme="minorHAnsi" w:cstheme="minorHAnsi"/>
          <w:color w:val="0070C0"/>
          <w:sz w:val="28"/>
          <w:szCs w:val="28"/>
          <w:lang w:val="en-US"/>
        </w:rPr>
        <w:t xml:space="preserve">Social Work ASP Case Record Audit Report by Molly Gilbert, Principal Officer: Adult Protection </w:t>
      </w:r>
      <w:r w:rsidRPr="006C1EC7">
        <w:rPr>
          <w:rStyle w:val="eop"/>
          <w:rFonts w:asciiTheme="minorHAnsi" w:eastAsiaTheme="majorEastAsia" w:hAnsiTheme="minorHAnsi" w:cstheme="minorHAnsi"/>
          <w:color w:val="0070C0"/>
          <w:sz w:val="28"/>
          <w:szCs w:val="28"/>
        </w:rPr>
        <w:t> </w:t>
      </w:r>
    </w:p>
    <w:p w:rsidR="002D4C74" w:rsidRPr="006C1EC7" w:rsidRDefault="002D4C74" w:rsidP="002D4C74">
      <w:pPr>
        <w:pStyle w:val="paragraph"/>
        <w:spacing w:before="0" w:beforeAutospacing="0" w:after="0" w:afterAutospacing="0"/>
        <w:textAlignment w:val="baseline"/>
        <w:rPr>
          <w:rFonts w:asciiTheme="minorHAnsi" w:hAnsiTheme="minorHAnsi" w:cstheme="minorHAnsi"/>
          <w:color w:val="0070C0"/>
          <w:sz w:val="18"/>
          <w:szCs w:val="18"/>
        </w:rPr>
      </w:pPr>
    </w:p>
    <w:p w:rsidR="002D4C74" w:rsidRPr="006C1EC7" w:rsidRDefault="002D4C74" w:rsidP="002D4C74">
      <w:pPr>
        <w:pStyle w:val="paragraph"/>
        <w:spacing w:before="0" w:beforeAutospacing="0" w:after="0" w:afterAutospacing="0"/>
        <w:textAlignment w:val="baseline"/>
        <w:rPr>
          <w:rStyle w:val="eop"/>
          <w:rFonts w:asciiTheme="minorHAnsi" w:eastAsiaTheme="majorEastAsia" w:hAnsiTheme="minorHAnsi" w:cstheme="minorHAnsi"/>
          <w:color w:val="0070C0"/>
          <w:sz w:val="28"/>
          <w:szCs w:val="28"/>
        </w:rPr>
      </w:pPr>
      <w:r w:rsidRPr="006C1EC7">
        <w:rPr>
          <w:rStyle w:val="normaltextrun"/>
          <w:rFonts w:asciiTheme="minorHAnsi" w:eastAsiaTheme="majorEastAsia" w:hAnsiTheme="minorHAnsi" w:cstheme="minorHAnsi"/>
          <w:color w:val="0070C0"/>
          <w:sz w:val="28"/>
          <w:szCs w:val="28"/>
          <w:lang w:val="en-US"/>
        </w:rPr>
        <w:t>APC June 2025</w:t>
      </w:r>
      <w:r w:rsidR="00950EC0" w:rsidRPr="006C1EC7">
        <w:rPr>
          <w:rStyle w:val="normaltextrun"/>
          <w:rFonts w:asciiTheme="minorHAnsi" w:eastAsiaTheme="majorEastAsia" w:hAnsiTheme="minorHAnsi" w:cstheme="minorHAnsi"/>
          <w:color w:val="0070C0"/>
          <w:sz w:val="28"/>
          <w:szCs w:val="28"/>
          <w:lang w:val="en-US"/>
        </w:rPr>
        <w:t>:</w:t>
      </w:r>
      <w:r w:rsidRPr="006C1EC7">
        <w:rPr>
          <w:rStyle w:val="normaltextrun"/>
          <w:rFonts w:asciiTheme="minorHAnsi" w:eastAsiaTheme="majorEastAsia" w:hAnsiTheme="minorHAnsi" w:cstheme="minorHAnsi"/>
          <w:color w:val="0070C0"/>
          <w:sz w:val="28"/>
          <w:szCs w:val="28"/>
          <w:lang w:val="en-US"/>
        </w:rPr>
        <w:t xml:space="preserve"> Item 9 </w:t>
      </w:r>
      <w:r w:rsidRPr="006C1EC7">
        <w:rPr>
          <w:rStyle w:val="eop"/>
          <w:rFonts w:asciiTheme="minorHAnsi" w:eastAsiaTheme="majorEastAsia" w:hAnsiTheme="minorHAnsi" w:cstheme="minorHAnsi"/>
          <w:color w:val="0070C0"/>
          <w:sz w:val="28"/>
          <w:szCs w:val="28"/>
        </w:rPr>
        <w:t> </w:t>
      </w:r>
    </w:p>
    <w:p w:rsidR="002D4C74" w:rsidRPr="006C1EC7" w:rsidRDefault="002D4C74" w:rsidP="002D4C74">
      <w:pPr>
        <w:pStyle w:val="paragraph"/>
        <w:spacing w:before="0" w:beforeAutospacing="0" w:after="0" w:afterAutospacing="0"/>
        <w:textAlignment w:val="baseline"/>
        <w:rPr>
          <w:rFonts w:asciiTheme="minorHAnsi" w:hAnsiTheme="minorHAnsi" w:cstheme="minorHAnsi"/>
          <w:color w:val="0070C0"/>
          <w:sz w:val="18"/>
          <w:szCs w:val="18"/>
        </w:rPr>
      </w:pPr>
    </w:p>
    <w:p w:rsidR="002D4C74" w:rsidRPr="006C1EC7" w:rsidRDefault="002D4C74" w:rsidP="002D4C74">
      <w:pPr>
        <w:pStyle w:val="paragraph"/>
        <w:spacing w:before="0" w:beforeAutospacing="0" w:after="0" w:afterAutospacing="0"/>
        <w:textAlignment w:val="baseline"/>
        <w:rPr>
          <w:rFonts w:asciiTheme="minorHAnsi" w:hAnsiTheme="minorHAnsi" w:cstheme="minorHAnsi"/>
          <w:color w:val="0070C0"/>
          <w:sz w:val="18"/>
          <w:szCs w:val="18"/>
          <w:u w:val="single"/>
        </w:rPr>
      </w:pPr>
      <w:r w:rsidRPr="006C1EC7">
        <w:rPr>
          <w:rStyle w:val="normaltextrun"/>
          <w:rFonts w:asciiTheme="minorHAnsi" w:eastAsiaTheme="majorEastAsia" w:hAnsiTheme="minorHAnsi" w:cstheme="minorHAnsi"/>
          <w:color w:val="0070C0"/>
          <w:sz w:val="28"/>
          <w:szCs w:val="28"/>
          <w:u w:val="single"/>
          <w:lang w:val="en-US"/>
        </w:rPr>
        <w:t xml:space="preserve">Risk Assessment and Protection Planning Audit </w:t>
      </w:r>
      <w:r w:rsidRPr="006C1EC7">
        <w:rPr>
          <w:rStyle w:val="eop"/>
          <w:rFonts w:asciiTheme="minorHAnsi" w:eastAsiaTheme="majorEastAsia" w:hAnsiTheme="minorHAnsi" w:cstheme="minorHAnsi"/>
          <w:color w:val="0070C0"/>
          <w:sz w:val="28"/>
          <w:szCs w:val="28"/>
          <w:u w:val="single"/>
        </w:rPr>
        <w:t> </w:t>
      </w:r>
    </w:p>
    <w:p w:rsidR="002D4C74" w:rsidRPr="00950EC0" w:rsidRDefault="002D4C74" w:rsidP="002D4C74">
      <w:pPr>
        <w:rPr>
          <w:color w:val="0070C0"/>
        </w:rPr>
      </w:pPr>
    </w:p>
    <w:p w:rsidR="002D4C74" w:rsidRPr="00B1720E" w:rsidRDefault="00950EC0" w:rsidP="00950EC0">
      <w:pPr>
        <w:pStyle w:val="ListParagraph"/>
        <w:numPr>
          <w:ilvl w:val="0"/>
          <w:numId w:val="1"/>
        </w:numPr>
        <w:spacing w:after="0"/>
        <w:ind w:left="357" w:hanging="357"/>
        <w:rPr>
          <w:rFonts w:cstheme="minorHAnsi"/>
          <w:b/>
          <w:bCs/>
          <w:color w:val="0070C0"/>
          <w:sz w:val="28"/>
          <w:szCs w:val="28"/>
          <w:u w:val="single"/>
        </w:rPr>
      </w:pPr>
      <w:r w:rsidRPr="00B1720E">
        <w:rPr>
          <w:rFonts w:cstheme="minorHAnsi"/>
          <w:b/>
          <w:bCs/>
          <w:color w:val="0070C0"/>
          <w:sz w:val="28"/>
          <w:szCs w:val="28"/>
          <w:u w:val="single"/>
        </w:rPr>
        <w:t>Introduction</w:t>
      </w:r>
    </w:p>
    <w:p w:rsidR="00950EC0" w:rsidRPr="00950EC0" w:rsidRDefault="00950EC0" w:rsidP="00950EC0">
      <w:pPr>
        <w:pStyle w:val="paragraph"/>
        <w:spacing w:before="0" w:beforeAutospacing="0" w:after="0" w:afterAutospacing="0"/>
        <w:jc w:val="both"/>
        <w:textAlignment w:val="baseline"/>
        <w:rPr>
          <w:rStyle w:val="eop"/>
          <w:rFonts w:asciiTheme="minorHAnsi" w:eastAsiaTheme="majorEastAsia" w:hAnsiTheme="minorHAnsi" w:cstheme="minorHAnsi"/>
        </w:rPr>
      </w:pPr>
      <w:r w:rsidRPr="00950EC0">
        <w:rPr>
          <w:rStyle w:val="normaltextrun"/>
          <w:rFonts w:asciiTheme="minorHAnsi" w:eastAsiaTheme="majorEastAsia" w:hAnsiTheme="minorHAnsi" w:cstheme="minorHAnsi"/>
          <w:lang w:val="en-US"/>
        </w:rPr>
        <w:t>Case Reviews and case file audits are a critical part of continuous improvement, a key component of monitoring, self-evaluation, and quality assurance, establishing standards of practice, and learning and improvement. A group of 7 readers comprised of experienced Social Work Team Managers/Nominated Officers, Principal Officers and Social Workers undertook an audit of social work case records for Adult Support and Protection (ASP) on 25</w:t>
      </w:r>
      <w:r w:rsidRPr="00950EC0">
        <w:rPr>
          <w:rStyle w:val="normaltextrun"/>
          <w:rFonts w:asciiTheme="minorHAnsi" w:eastAsiaTheme="majorEastAsia" w:hAnsiTheme="minorHAnsi" w:cstheme="minorHAnsi"/>
          <w:vertAlign w:val="superscript"/>
          <w:lang w:val="en-US"/>
        </w:rPr>
        <w:t>th</w:t>
      </w:r>
      <w:r w:rsidRPr="00950EC0">
        <w:rPr>
          <w:rStyle w:val="normaltextrun"/>
          <w:rFonts w:asciiTheme="minorHAnsi" w:eastAsiaTheme="majorEastAsia" w:hAnsiTheme="minorHAnsi" w:cstheme="minorHAnsi"/>
          <w:lang w:val="en-US"/>
        </w:rPr>
        <w:t xml:space="preserve"> April 2025. The focus of the Audit was to determine the quality of both risk assessments and protection plans on file for individuals in the sample. Readers used an adapted “Scrutiny of Adult Protection Record Template” originally used by the Care Inspectorate for inspections and the </w:t>
      </w:r>
      <w:r w:rsidRPr="00950EC0">
        <w:rPr>
          <w:rStyle w:val="normaltextrun"/>
          <w:rFonts w:asciiTheme="minorHAnsi" w:eastAsiaTheme="majorEastAsia" w:hAnsiTheme="minorHAnsi" w:cstheme="minorHAnsi"/>
          <w:color w:val="000000"/>
        </w:rPr>
        <w:t>Care Inspectorate Quality Framework for Adult Support and Protection (</w:t>
      </w:r>
      <w:hyperlink r:id="rId6" w:tgtFrame="_blank" w:history="1">
        <w:r w:rsidRPr="00950EC0">
          <w:rPr>
            <w:rStyle w:val="normaltextrun"/>
            <w:rFonts w:asciiTheme="minorHAnsi" w:eastAsiaTheme="majorEastAsia" w:hAnsiTheme="minorHAnsi" w:cstheme="minorHAnsi"/>
            <w:color w:val="467886"/>
            <w:u w:val="single"/>
          </w:rPr>
          <w:t>view here)</w:t>
        </w:r>
      </w:hyperlink>
      <w:r w:rsidRPr="00950EC0">
        <w:rPr>
          <w:rStyle w:val="normaltextrun"/>
          <w:rFonts w:asciiTheme="minorHAnsi" w:eastAsiaTheme="majorEastAsia" w:hAnsiTheme="minorHAnsi" w:cstheme="minorHAnsi"/>
          <w:color w:val="000000"/>
        </w:rPr>
        <w:t>.</w:t>
      </w:r>
      <w:r w:rsidRPr="00950EC0">
        <w:rPr>
          <w:rStyle w:val="scxw193479471"/>
          <w:rFonts w:asciiTheme="minorHAnsi" w:eastAsiaTheme="majorEastAsia" w:hAnsiTheme="minorHAnsi" w:cstheme="minorHAnsi"/>
          <w:color w:val="000000"/>
        </w:rPr>
        <w:t> </w:t>
      </w:r>
      <w:r w:rsidRPr="00950EC0">
        <w:rPr>
          <w:rFonts w:asciiTheme="minorHAnsi" w:hAnsiTheme="minorHAnsi" w:cstheme="minorHAnsi"/>
          <w:color w:val="000000"/>
        </w:rPr>
        <w:br/>
      </w:r>
      <w:r w:rsidRPr="00950EC0">
        <w:rPr>
          <w:rStyle w:val="normaltextrun"/>
          <w:rFonts w:asciiTheme="minorHAnsi" w:eastAsiaTheme="majorEastAsia" w:hAnsiTheme="minorHAnsi" w:cstheme="minorHAnsi"/>
          <w:lang w:val="en-US"/>
        </w:rPr>
        <w:t>The methodology was, then, an evaluation by social workers of the records and the outcomes for individuals at risk of harm. The findings therefore need to be seen as complementary to any information collected directly from adults and carers who have been involved in Adult Protection core processes about their experiences.</w:t>
      </w:r>
      <w:r w:rsidRPr="00950EC0">
        <w:rPr>
          <w:rStyle w:val="eop"/>
          <w:rFonts w:asciiTheme="minorHAnsi" w:eastAsiaTheme="majorEastAsia" w:hAnsiTheme="minorHAnsi" w:cstheme="minorHAnsi"/>
        </w:rPr>
        <w:t> </w:t>
      </w:r>
    </w:p>
    <w:p w:rsidR="00950EC0" w:rsidRPr="00950EC0" w:rsidRDefault="00950EC0" w:rsidP="00950EC0">
      <w:pPr>
        <w:pStyle w:val="paragraph"/>
        <w:spacing w:before="0" w:beforeAutospacing="0" w:after="0" w:afterAutospacing="0"/>
        <w:jc w:val="both"/>
        <w:textAlignment w:val="baseline"/>
        <w:rPr>
          <w:rFonts w:asciiTheme="minorHAnsi" w:hAnsiTheme="minorHAnsi" w:cstheme="minorHAnsi"/>
        </w:rPr>
      </w:pPr>
    </w:p>
    <w:p w:rsidR="00950EC0" w:rsidRPr="00950EC0" w:rsidRDefault="00950EC0" w:rsidP="00950EC0">
      <w:pPr>
        <w:pStyle w:val="paragraph"/>
        <w:spacing w:before="0" w:beforeAutospacing="0" w:after="0" w:afterAutospacing="0"/>
        <w:jc w:val="both"/>
        <w:textAlignment w:val="baseline"/>
        <w:rPr>
          <w:rFonts w:asciiTheme="minorHAnsi" w:hAnsiTheme="minorHAnsi" w:cstheme="minorHAnsi"/>
        </w:rPr>
      </w:pPr>
      <w:r w:rsidRPr="00950EC0">
        <w:rPr>
          <w:rStyle w:val="normaltextrun"/>
          <w:rFonts w:asciiTheme="minorHAnsi" w:eastAsiaTheme="majorEastAsia" w:hAnsiTheme="minorHAnsi" w:cstheme="minorHAnsi"/>
          <w:lang w:val="en-US"/>
        </w:rPr>
        <w:t xml:space="preserve">In addition to the audit, we sent a survey to Social Workers who are Council Officers/Nominated Officers to obtain their views regarding the quality of risk assessments and protection plans in the case files they work with. There was a small return on this survey of 12 practitioners – the full </w:t>
      </w:r>
      <w:hyperlink r:id="rId7" w:tgtFrame="_blank" w:history="1">
        <w:r w:rsidRPr="00950EC0">
          <w:rPr>
            <w:rStyle w:val="normaltextrun"/>
            <w:rFonts w:asciiTheme="minorHAnsi" w:eastAsiaTheme="majorEastAsia" w:hAnsiTheme="minorHAnsi" w:cstheme="minorHAnsi"/>
            <w:color w:val="467886"/>
            <w:u w:val="single"/>
            <w:lang w:val="en-US"/>
          </w:rPr>
          <w:t>results can be viewed here.</w:t>
        </w:r>
      </w:hyperlink>
      <w:r w:rsidRPr="00950EC0">
        <w:rPr>
          <w:rStyle w:val="eop"/>
          <w:rFonts w:asciiTheme="minorHAnsi" w:eastAsiaTheme="majorEastAsia" w:hAnsiTheme="minorHAnsi" w:cstheme="minorHAnsi"/>
        </w:rPr>
        <w:t> </w:t>
      </w:r>
    </w:p>
    <w:p w:rsidR="00950EC0" w:rsidRPr="00950EC0" w:rsidRDefault="00950EC0" w:rsidP="00950EC0">
      <w:pPr>
        <w:pStyle w:val="paragraph"/>
        <w:spacing w:before="0" w:beforeAutospacing="0" w:after="0" w:afterAutospacing="0"/>
        <w:jc w:val="both"/>
        <w:textAlignment w:val="baseline"/>
        <w:rPr>
          <w:rFonts w:asciiTheme="minorHAnsi" w:hAnsiTheme="minorHAnsi" w:cstheme="minorHAnsi"/>
        </w:rPr>
      </w:pPr>
      <w:r w:rsidRPr="00950EC0">
        <w:rPr>
          <w:rStyle w:val="normaltextrun"/>
          <w:rFonts w:asciiTheme="minorHAnsi" w:eastAsiaTheme="majorEastAsia" w:hAnsiTheme="minorHAnsi" w:cstheme="minorHAnsi"/>
          <w:lang w:val="en-US"/>
        </w:rPr>
        <w:t xml:space="preserve">This report presents an analysis of the audit and questionnaire.  The purpose of this analysis is to evaluate the effectiveness of current practices in risk assessment, protection planning, and outcomes for adults at risk. The findings aim to inform the work of the Adult Protection Committee (APC) and continuous improvement in ASP practices across the service.  </w:t>
      </w:r>
      <w:r w:rsidRPr="00950EC0">
        <w:rPr>
          <w:rStyle w:val="eop"/>
          <w:rFonts w:asciiTheme="minorHAnsi" w:eastAsiaTheme="majorEastAsia" w:hAnsiTheme="minorHAnsi" w:cstheme="minorHAnsi"/>
        </w:rPr>
        <w:t> </w:t>
      </w:r>
    </w:p>
    <w:p w:rsidR="00950EC0" w:rsidRDefault="00950EC0" w:rsidP="00950EC0"/>
    <w:p w:rsidR="00950EC0" w:rsidRPr="00B1720E" w:rsidRDefault="00950EC0" w:rsidP="004861DB">
      <w:pPr>
        <w:pStyle w:val="ListParagraph"/>
        <w:numPr>
          <w:ilvl w:val="0"/>
          <w:numId w:val="1"/>
        </w:numPr>
        <w:spacing w:after="0"/>
        <w:ind w:left="357" w:hanging="357"/>
        <w:rPr>
          <w:b/>
          <w:bCs/>
          <w:color w:val="0070C0"/>
          <w:sz w:val="28"/>
          <w:szCs w:val="28"/>
          <w:u w:val="single"/>
        </w:rPr>
      </w:pPr>
      <w:r w:rsidRPr="00B1720E">
        <w:rPr>
          <w:b/>
          <w:bCs/>
          <w:color w:val="0070C0"/>
          <w:sz w:val="28"/>
          <w:szCs w:val="28"/>
          <w:u w:val="single"/>
        </w:rPr>
        <w:t xml:space="preserve">Demographics </w:t>
      </w:r>
    </w:p>
    <w:p w:rsidR="004861DB" w:rsidRDefault="004861DB" w:rsidP="004861DB">
      <w:pPr>
        <w:pStyle w:val="paragraph"/>
        <w:spacing w:before="0" w:beforeAutospacing="0" w:after="0" w:afterAutospacing="0"/>
        <w:jc w:val="both"/>
        <w:textAlignment w:val="baseline"/>
        <w:rPr>
          <w:rStyle w:val="scxw118787062"/>
          <w:rFonts w:asciiTheme="minorHAnsi" w:eastAsiaTheme="majorEastAsia" w:hAnsiTheme="minorHAnsi" w:cstheme="minorHAnsi"/>
        </w:rPr>
      </w:pPr>
      <w:r w:rsidRPr="004861DB">
        <w:rPr>
          <w:rStyle w:val="normaltextrun"/>
          <w:rFonts w:asciiTheme="minorHAnsi" w:eastAsiaTheme="majorEastAsia" w:hAnsiTheme="minorHAnsi" w:cstheme="minorHAnsi"/>
          <w:lang w:val="en-US"/>
        </w:rPr>
        <w:t>This section outlines the demographic profile of the individuals whose cases were audited.</w:t>
      </w:r>
      <w:r w:rsidRPr="004861DB">
        <w:rPr>
          <w:rStyle w:val="scxw118787062"/>
          <w:rFonts w:asciiTheme="minorHAnsi" w:eastAsiaTheme="majorEastAsia" w:hAnsiTheme="minorHAnsi" w:cstheme="minorHAnsi"/>
        </w:rPr>
        <w:t> </w:t>
      </w:r>
    </w:p>
    <w:p w:rsidR="004861DB" w:rsidRPr="004861DB" w:rsidRDefault="004861DB" w:rsidP="004861DB">
      <w:pPr>
        <w:pStyle w:val="paragraph"/>
        <w:spacing w:before="0" w:beforeAutospacing="0" w:after="0" w:afterAutospacing="0"/>
        <w:jc w:val="both"/>
        <w:textAlignment w:val="baseline"/>
        <w:rPr>
          <w:rStyle w:val="eop"/>
          <w:rFonts w:asciiTheme="minorHAnsi" w:eastAsiaTheme="majorEastAsia" w:hAnsiTheme="minorHAnsi" w:cstheme="minorHAnsi"/>
          <w:color w:val="0070C0"/>
          <w:u w:val="single"/>
        </w:rPr>
      </w:pPr>
      <w:r w:rsidRPr="004861DB">
        <w:rPr>
          <w:rFonts w:asciiTheme="minorHAnsi" w:hAnsiTheme="minorHAnsi" w:cstheme="minorHAnsi"/>
        </w:rPr>
        <w:br/>
      </w:r>
      <w:r w:rsidRPr="004861DB">
        <w:rPr>
          <w:rStyle w:val="normaltextrun"/>
          <w:rFonts w:asciiTheme="minorHAnsi" w:eastAsiaTheme="majorEastAsia" w:hAnsiTheme="minorHAnsi" w:cstheme="minorHAnsi"/>
          <w:color w:val="0070C0"/>
          <w:u w:val="single"/>
          <w:lang w:val="en-US"/>
        </w:rPr>
        <w:t>Total number of cases reviewed: </w:t>
      </w:r>
      <w:r w:rsidRPr="004861DB">
        <w:rPr>
          <w:rStyle w:val="normaltextrun"/>
          <w:rFonts w:asciiTheme="minorHAnsi" w:eastAsiaTheme="majorEastAsia" w:hAnsiTheme="minorHAnsi" w:cstheme="minorHAnsi"/>
          <w:b/>
          <w:bCs/>
          <w:color w:val="0070C0"/>
          <w:u w:val="single"/>
          <w:lang w:val="en-US"/>
        </w:rPr>
        <w:t>27</w:t>
      </w:r>
      <w:r w:rsidRPr="004861DB">
        <w:rPr>
          <w:rStyle w:val="eop"/>
          <w:rFonts w:asciiTheme="minorHAnsi" w:eastAsiaTheme="majorEastAsia" w:hAnsiTheme="minorHAnsi" w:cstheme="minorHAnsi"/>
          <w:color w:val="0070C0"/>
          <w:u w:val="single"/>
        </w:rPr>
        <w:t> </w:t>
      </w:r>
    </w:p>
    <w:p w:rsidR="004861DB" w:rsidRPr="004861DB" w:rsidRDefault="004861DB" w:rsidP="004861DB">
      <w:pPr>
        <w:pStyle w:val="paragraph"/>
        <w:spacing w:before="0" w:beforeAutospacing="0" w:after="0" w:afterAutospacing="0"/>
        <w:jc w:val="both"/>
        <w:textAlignment w:val="baseline"/>
        <w:rPr>
          <w:rFonts w:asciiTheme="minorHAnsi" w:hAnsiTheme="minorHAnsi" w:cstheme="minorHAnsi"/>
        </w:rPr>
      </w:pPr>
    </w:p>
    <w:p w:rsidR="004861DB" w:rsidRPr="004861DB" w:rsidRDefault="004861DB" w:rsidP="004861DB">
      <w:pPr>
        <w:pStyle w:val="paragraph"/>
        <w:spacing w:before="0" w:beforeAutospacing="0" w:after="0" w:afterAutospacing="0"/>
        <w:jc w:val="both"/>
        <w:textAlignment w:val="baseline"/>
        <w:rPr>
          <w:rFonts w:asciiTheme="minorHAnsi" w:hAnsiTheme="minorHAnsi" w:cstheme="minorHAnsi"/>
        </w:rPr>
      </w:pPr>
      <w:r w:rsidRPr="004861DB">
        <w:rPr>
          <w:rStyle w:val="normaltextrun"/>
          <w:rFonts w:asciiTheme="minorHAnsi" w:eastAsiaTheme="majorEastAsia" w:hAnsiTheme="minorHAnsi" w:cstheme="minorHAnsi"/>
        </w:rPr>
        <w:t>Cases audited were a randomised sample of ASP3's (investigations) completed between April 2024 and March 2025 with an outcome of 'yes - proposed case conference to be arranged' and all ASP4's (reviews) completed between April 2024 and March 2025 with an outcome of 'yes - protection plan to be actioned'. All files were taken from CareFirst.</w:t>
      </w:r>
      <w:r w:rsidRPr="004861DB">
        <w:rPr>
          <w:rStyle w:val="eop"/>
          <w:rFonts w:asciiTheme="minorHAnsi" w:eastAsiaTheme="majorEastAsia" w:hAnsiTheme="minorHAnsi" w:cstheme="minorHAnsi"/>
        </w:rPr>
        <w:t> </w:t>
      </w:r>
    </w:p>
    <w:p w:rsidR="004861DB" w:rsidRDefault="004861DB" w:rsidP="004861DB">
      <w:pPr>
        <w:ind w:left="360"/>
        <w:rPr>
          <w:color w:val="0070C0"/>
          <w:sz w:val="28"/>
          <w:szCs w:val="28"/>
        </w:rPr>
      </w:pPr>
    </w:p>
    <w:p w:rsidR="004861DB" w:rsidRDefault="004861DB" w:rsidP="004861DB">
      <w:pPr>
        <w:ind w:left="360"/>
        <w:rPr>
          <w:color w:val="0070C0"/>
          <w:sz w:val="28"/>
          <w:szCs w:val="28"/>
        </w:rPr>
      </w:pPr>
    </w:p>
    <w:p w:rsidR="00941A4E" w:rsidRPr="00391B5C" w:rsidRDefault="00391B5C" w:rsidP="00B16200">
      <w:pPr>
        <w:pStyle w:val="ListParagraph"/>
        <w:numPr>
          <w:ilvl w:val="0"/>
          <w:numId w:val="2"/>
        </w:numPr>
        <w:ind w:left="1077" w:hanging="357"/>
        <w:rPr>
          <w:color w:val="0070C0"/>
          <w:sz w:val="28"/>
          <w:szCs w:val="28"/>
        </w:rPr>
      </w:pPr>
      <w:r>
        <w:rPr>
          <w:color w:val="0070C0"/>
          <w:sz w:val="28"/>
          <w:szCs w:val="28"/>
        </w:rPr>
        <w:lastRenderedPageBreak/>
        <w:t>Age distribution:</w:t>
      </w:r>
    </w:p>
    <w:p w:rsidR="00391B5C" w:rsidRDefault="00941A4E" w:rsidP="00941A4E">
      <w:pPr>
        <w:ind w:left="360"/>
        <w:jc w:val="center"/>
        <w:rPr>
          <w:color w:val="0070C0"/>
          <w:sz w:val="28"/>
          <w:szCs w:val="28"/>
        </w:rPr>
      </w:pPr>
      <w:r>
        <w:rPr>
          <w:rStyle w:val="wacimagecontainer"/>
          <w:noProof/>
          <w:color w:val="000000"/>
          <w:shd w:val="clear" w:color="auto" w:fill="FFFFFF"/>
          <w:lang w:eastAsia="en-GB"/>
        </w:rPr>
        <w:drawing>
          <wp:inline distT="0" distB="0" distL="0" distR="0">
            <wp:extent cx="4276090" cy="3790950"/>
            <wp:effectExtent l="0" t="0" r="0" b="0"/>
            <wp:docPr id="6" name="Picture 3" descr="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Picture"/>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03705" cy="3815432"/>
                    </a:xfrm>
                    <a:prstGeom prst="rect">
                      <a:avLst/>
                    </a:prstGeom>
                    <a:noFill/>
                    <a:ln>
                      <a:noFill/>
                    </a:ln>
                  </pic:spPr>
                </pic:pic>
              </a:graphicData>
            </a:graphic>
          </wp:inline>
        </w:drawing>
      </w:r>
    </w:p>
    <w:p w:rsidR="00391B5C" w:rsidRDefault="00391B5C" w:rsidP="00941A4E">
      <w:pPr>
        <w:ind w:left="360"/>
        <w:jc w:val="center"/>
        <w:rPr>
          <w:color w:val="0070C0"/>
          <w:sz w:val="28"/>
          <w:szCs w:val="28"/>
        </w:rPr>
      </w:pPr>
    </w:p>
    <w:p w:rsidR="002E4025" w:rsidRPr="002E4025" w:rsidRDefault="00391B5C" w:rsidP="00B16200">
      <w:pPr>
        <w:pStyle w:val="ListParagraph"/>
        <w:numPr>
          <w:ilvl w:val="0"/>
          <w:numId w:val="2"/>
        </w:numPr>
        <w:ind w:left="1077" w:hanging="357"/>
        <w:rPr>
          <w:color w:val="0070C0"/>
          <w:sz w:val="28"/>
          <w:szCs w:val="28"/>
        </w:rPr>
      </w:pPr>
      <w:r w:rsidRPr="00391B5C">
        <w:rPr>
          <w:color w:val="0070C0"/>
          <w:sz w:val="28"/>
          <w:szCs w:val="28"/>
          <w:shd w:val="clear" w:color="auto" w:fill="FFFFFF"/>
        </w:rPr>
        <w:t>Gender breakdown</w:t>
      </w:r>
    </w:p>
    <w:p w:rsidR="00941A4E" w:rsidRDefault="00941A4E" w:rsidP="002E4025">
      <w:pPr>
        <w:pStyle w:val="ListParagraph"/>
        <w:ind w:left="1080"/>
        <w:jc w:val="center"/>
        <w:rPr>
          <w:color w:val="0070C0"/>
          <w:sz w:val="28"/>
          <w:szCs w:val="28"/>
        </w:rPr>
      </w:pPr>
      <w:r w:rsidRPr="00391B5C">
        <w:rPr>
          <w:color w:val="000000"/>
          <w:sz w:val="28"/>
          <w:szCs w:val="28"/>
          <w:shd w:val="clear" w:color="auto" w:fill="FFFFFF"/>
        </w:rPr>
        <w:br/>
      </w:r>
      <w:r w:rsidR="002E4025" w:rsidRPr="002E4025">
        <w:rPr>
          <w:noProof/>
          <w:color w:val="0070C0"/>
          <w:sz w:val="28"/>
          <w:szCs w:val="28"/>
          <w:lang w:eastAsia="en-GB"/>
        </w:rPr>
        <w:drawing>
          <wp:inline distT="0" distB="0" distL="0" distR="0">
            <wp:extent cx="4428569" cy="3533140"/>
            <wp:effectExtent l="0" t="0" r="0" b="0"/>
            <wp:docPr id="466722334" name="Picture 2" descr="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ture"/>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50393" cy="3550552"/>
                    </a:xfrm>
                    <a:prstGeom prst="rect">
                      <a:avLst/>
                    </a:prstGeom>
                    <a:noFill/>
                    <a:ln>
                      <a:noFill/>
                    </a:ln>
                  </pic:spPr>
                </pic:pic>
              </a:graphicData>
            </a:graphic>
          </wp:inline>
        </w:drawing>
      </w:r>
      <w:r w:rsidR="002E4025" w:rsidRPr="002E4025">
        <w:rPr>
          <w:color w:val="0070C0"/>
          <w:sz w:val="28"/>
          <w:szCs w:val="28"/>
        </w:rPr>
        <w:br/>
      </w:r>
    </w:p>
    <w:p w:rsidR="0011223F" w:rsidRDefault="0011223F" w:rsidP="002E4025">
      <w:pPr>
        <w:pStyle w:val="ListParagraph"/>
        <w:ind w:left="1080"/>
        <w:jc w:val="center"/>
        <w:rPr>
          <w:color w:val="0070C0"/>
          <w:sz w:val="28"/>
          <w:szCs w:val="28"/>
        </w:rPr>
      </w:pPr>
    </w:p>
    <w:p w:rsidR="0011223F" w:rsidRDefault="0011223F" w:rsidP="002E4025">
      <w:pPr>
        <w:pStyle w:val="ListParagraph"/>
        <w:ind w:left="1080"/>
        <w:jc w:val="center"/>
        <w:rPr>
          <w:color w:val="0070C0"/>
          <w:sz w:val="28"/>
          <w:szCs w:val="28"/>
        </w:rPr>
      </w:pPr>
    </w:p>
    <w:p w:rsidR="0011223F" w:rsidRDefault="0011223F" w:rsidP="002E4025">
      <w:pPr>
        <w:pStyle w:val="ListParagraph"/>
        <w:ind w:left="1080"/>
        <w:jc w:val="center"/>
        <w:rPr>
          <w:color w:val="0070C0"/>
          <w:sz w:val="28"/>
          <w:szCs w:val="28"/>
        </w:rPr>
      </w:pPr>
    </w:p>
    <w:p w:rsidR="0011223F" w:rsidRPr="00B1720E" w:rsidRDefault="0011223F" w:rsidP="00B16200">
      <w:pPr>
        <w:pStyle w:val="ListParagraph"/>
        <w:numPr>
          <w:ilvl w:val="0"/>
          <w:numId w:val="1"/>
        </w:numPr>
        <w:ind w:left="357" w:hanging="357"/>
        <w:rPr>
          <w:b/>
          <w:bCs/>
          <w:color w:val="0070C0"/>
          <w:sz w:val="28"/>
          <w:szCs w:val="28"/>
          <w:u w:val="single"/>
        </w:rPr>
      </w:pPr>
      <w:r w:rsidRPr="00B1720E">
        <w:rPr>
          <w:b/>
          <w:bCs/>
          <w:color w:val="0070C0"/>
          <w:sz w:val="28"/>
          <w:szCs w:val="28"/>
          <w:u w:val="single"/>
        </w:rPr>
        <w:lastRenderedPageBreak/>
        <w:t xml:space="preserve">Risk Assessment </w:t>
      </w:r>
    </w:p>
    <w:p w:rsidR="003A41F4" w:rsidRPr="003A41F4" w:rsidRDefault="003A41F4" w:rsidP="003A41F4">
      <w:pPr>
        <w:rPr>
          <w:sz w:val="24"/>
          <w:szCs w:val="24"/>
        </w:rPr>
      </w:pPr>
      <w:r w:rsidRPr="003A41F4">
        <w:rPr>
          <w:sz w:val="24"/>
          <w:szCs w:val="24"/>
          <w:lang w:val="en-US"/>
        </w:rPr>
        <w:t>This section evaluates how risk was identified, assessed, and recorded in the audited cases.</w:t>
      </w:r>
      <w:r w:rsidRPr="003A41F4">
        <w:rPr>
          <w:sz w:val="24"/>
          <w:szCs w:val="24"/>
        </w:rPr>
        <w:t> </w:t>
      </w:r>
    </w:p>
    <w:p w:rsidR="003A41F4" w:rsidRPr="003A41F4" w:rsidRDefault="003A41F4" w:rsidP="003A41F4">
      <w:pPr>
        <w:numPr>
          <w:ilvl w:val="0"/>
          <w:numId w:val="3"/>
        </w:numPr>
        <w:rPr>
          <w:sz w:val="24"/>
          <w:szCs w:val="24"/>
        </w:rPr>
      </w:pPr>
      <w:r w:rsidRPr="003A41F4">
        <w:rPr>
          <w:sz w:val="24"/>
          <w:szCs w:val="24"/>
          <w:lang w:val="en-US"/>
        </w:rPr>
        <w:t xml:space="preserve">Percentage of cases audited with a completed risk assessment: </w:t>
      </w:r>
      <w:r w:rsidRPr="003A41F4">
        <w:rPr>
          <w:b/>
          <w:bCs/>
          <w:color w:val="0070C0"/>
          <w:sz w:val="24"/>
          <w:szCs w:val="24"/>
          <w:u w:val="single"/>
          <w:lang w:val="en-US"/>
        </w:rPr>
        <w:t>100%</w:t>
      </w:r>
      <w:r w:rsidRPr="003A41F4">
        <w:rPr>
          <w:color w:val="0070C0"/>
          <w:sz w:val="24"/>
          <w:szCs w:val="24"/>
        </w:rPr>
        <w:t> </w:t>
      </w:r>
    </w:p>
    <w:p w:rsidR="00A61915" w:rsidRPr="001F248B" w:rsidRDefault="003A41F4" w:rsidP="00A61915">
      <w:pPr>
        <w:numPr>
          <w:ilvl w:val="0"/>
          <w:numId w:val="4"/>
        </w:numPr>
        <w:rPr>
          <w:sz w:val="24"/>
          <w:szCs w:val="24"/>
        </w:rPr>
      </w:pPr>
      <w:r w:rsidRPr="003A41F4">
        <w:rPr>
          <w:sz w:val="24"/>
          <w:szCs w:val="24"/>
          <w:lang w:val="en-US"/>
        </w:rPr>
        <w:t xml:space="preserve">Quality of risk assessments: </w:t>
      </w:r>
      <w:r w:rsidRPr="003A41F4">
        <w:rPr>
          <w:sz w:val="24"/>
          <w:szCs w:val="24"/>
        </w:rPr>
        <w:t> </w:t>
      </w:r>
    </w:p>
    <w:p w:rsidR="00A61915" w:rsidRDefault="001F248B" w:rsidP="00A61915">
      <w:pPr>
        <w:rPr>
          <w:sz w:val="24"/>
          <w:szCs w:val="24"/>
        </w:rPr>
      </w:pPr>
      <w:r>
        <w:rPr>
          <w:noProof/>
          <w:lang w:eastAsia="en-GB"/>
        </w:rPr>
        <w:drawing>
          <wp:inline distT="0" distB="0" distL="0" distR="0">
            <wp:extent cx="7019926" cy="2600325"/>
            <wp:effectExtent l="0" t="0" r="9525" b="0"/>
            <wp:docPr id="243689327" name="Picture 3" descr="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019926" cy="2600325"/>
                    </a:xfrm>
                    <a:prstGeom prst="rect">
                      <a:avLst/>
                    </a:prstGeom>
                  </pic:spPr>
                </pic:pic>
              </a:graphicData>
            </a:graphic>
          </wp:inline>
        </w:drawing>
      </w:r>
      <w:r>
        <w:br/>
      </w:r>
    </w:p>
    <w:p w:rsidR="00837E7B" w:rsidRPr="00B1720E" w:rsidRDefault="00837E7B" w:rsidP="00ED2B0C">
      <w:pPr>
        <w:pStyle w:val="ListParagraph"/>
        <w:numPr>
          <w:ilvl w:val="0"/>
          <w:numId w:val="2"/>
        </w:numPr>
        <w:ind w:left="1077" w:hanging="357"/>
        <w:rPr>
          <w:color w:val="0070C0"/>
          <w:sz w:val="28"/>
          <w:szCs w:val="28"/>
          <w:u w:val="single"/>
        </w:rPr>
      </w:pPr>
      <w:bookmarkStart w:id="0" w:name="_Hlk200028011"/>
      <w:r w:rsidRPr="00B1720E">
        <w:rPr>
          <w:color w:val="0070C0"/>
          <w:sz w:val="28"/>
          <w:szCs w:val="28"/>
          <w:u w:val="single"/>
        </w:rPr>
        <w:t>Questionnaire Results:</w:t>
      </w:r>
    </w:p>
    <w:bookmarkEnd w:id="0"/>
    <w:p w:rsidR="00B16200" w:rsidRPr="00B16200" w:rsidRDefault="00525BD7" w:rsidP="00B16200">
      <w:pPr>
        <w:rPr>
          <w:color w:val="0070C0"/>
          <w:sz w:val="28"/>
          <w:szCs w:val="28"/>
        </w:rPr>
      </w:pPr>
      <w:r w:rsidRPr="00525BD7">
        <w:rPr>
          <w:noProof/>
          <w:color w:val="0070C0"/>
          <w:sz w:val="28"/>
          <w:szCs w:val="28"/>
          <w:lang w:eastAsia="en-GB"/>
        </w:rPr>
        <w:drawing>
          <wp:inline distT="0" distB="0" distL="0" distR="0">
            <wp:extent cx="6687441" cy="3771900"/>
            <wp:effectExtent l="0" t="0" r="0" b="0"/>
            <wp:docPr id="407646712"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17891" cy="3789075"/>
                    </a:xfrm>
                    <a:prstGeom prst="rect">
                      <a:avLst/>
                    </a:prstGeom>
                    <a:noFill/>
                    <a:ln>
                      <a:noFill/>
                    </a:ln>
                  </pic:spPr>
                </pic:pic>
              </a:graphicData>
            </a:graphic>
          </wp:inline>
        </w:drawing>
      </w:r>
      <w:r w:rsidRPr="00525BD7">
        <w:rPr>
          <w:color w:val="0070C0"/>
          <w:sz w:val="28"/>
          <w:szCs w:val="28"/>
        </w:rPr>
        <w:br/>
      </w:r>
    </w:p>
    <w:p w:rsidR="00B16200" w:rsidRPr="00B1720E" w:rsidRDefault="00525BD7" w:rsidP="00525BD7">
      <w:pPr>
        <w:pStyle w:val="ListParagraph"/>
        <w:numPr>
          <w:ilvl w:val="0"/>
          <w:numId w:val="2"/>
        </w:numPr>
        <w:rPr>
          <w:color w:val="0070C0"/>
          <w:sz w:val="28"/>
          <w:szCs w:val="28"/>
          <w:u w:val="single"/>
        </w:rPr>
      </w:pPr>
      <w:bookmarkStart w:id="1" w:name="_Hlk200028050"/>
      <w:r w:rsidRPr="00B1720E">
        <w:rPr>
          <w:color w:val="0070C0"/>
          <w:sz w:val="28"/>
          <w:szCs w:val="28"/>
          <w:u w:val="single"/>
        </w:rPr>
        <w:t xml:space="preserve">Comments </w:t>
      </w:r>
      <w:r w:rsidR="00C20412" w:rsidRPr="00B1720E">
        <w:rPr>
          <w:color w:val="0070C0"/>
          <w:sz w:val="28"/>
          <w:szCs w:val="28"/>
          <w:u w:val="single"/>
        </w:rPr>
        <w:t>from audit reader</w:t>
      </w:r>
      <w:r w:rsidR="00265FDF">
        <w:rPr>
          <w:color w:val="0070C0"/>
          <w:sz w:val="28"/>
          <w:szCs w:val="28"/>
          <w:u w:val="single"/>
        </w:rPr>
        <w:t>s</w:t>
      </w:r>
      <w:r w:rsidR="00C20412" w:rsidRPr="00B1720E">
        <w:rPr>
          <w:color w:val="0070C0"/>
          <w:sz w:val="28"/>
          <w:szCs w:val="28"/>
          <w:u w:val="single"/>
        </w:rPr>
        <w:t xml:space="preserve"> on risk assessments:</w:t>
      </w:r>
    </w:p>
    <w:p w:rsidR="00DD3423" w:rsidRPr="00DD3423" w:rsidRDefault="00DD3423" w:rsidP="00DD3423">
      <w:pPr>
        <w:numPr>
          <w:ilvl w:val="0"/>
          <w:numId w:val="5"/>
        </w:numPr>
        <w:ind w:left="1077" w:hanging="357"/>
        <w:rPr>
          <w:color w:val="0070C0"/>
          <w:sz w:val="28"/>
          <w:szCs w:val="28"/>
        </w:rPr>
      </w:pPr>
      <w:bookmarkStart w:id="2" w:name="_Hlk200028093"/>
      <w:bookmarkEnd w:id="1"/>
      <w:r w:rsidRPr="00DD3423">
        <w:rPr>
          <w:color w:val="0070C0"/>
          <w:sz w:val="28"/>
          <w:szCs w:val="28"/>
        </w:rPr>
        <w:lastRenderedPageBreak/>
        <w:t>Key Strengths: </w:t>
      </w:r>
    </w:p>
    <w:bookmarkEnd w:id="2"/>
    <w:p w:rsidR="00DD3423" w:rsidRPr="00DD3423" w:rsidRDefault="00DD3423" w:rsidP="00DD3423">
      <w:pPr>
        <w:numPr>
          <w:ilvl w:val="0"/>
          <w:numId w:val="6"/>
        </w:numPr>
        <w:rPr>
          <w:sz w:val="24"/>
          <w:szCs w:val="24"/>
        </w:rPr>
      </w:pPr>
      <w:r w:rsidRPr="00DD3423">
        <w:rPr>
          <w:sz w:val="24"/>
          <w:szCs w:val="24"/>
        </w:rPr>
        <w:t>“Lots of information from a multi-disciplinary network. Clear chronology to support assessment.” </w:t>
      </w:r>
    </w:p>
    <w:p w:rsidR="00DD3423" w:rsidRPr="00DD3423" w:rsidRDefault="00DD3423" w:rsidP="00DD3423">
      <w:pPr>
        <w:numPr>
          <w:ilvl w:val="0"/>
          <w:numId w:val="7"/>
        </w:numPr>
        <w:rPr>
          <w:sz w:val="24"/>
          <w:szCs w:val="24"/>
        </w:rPr>
      </w:pPr>
      <w:r w:rsidRPr="00DD3423">
        <w:rPr>
          <w:sz w:val="24"/>
          <w:szCs w:val="24"/>
        </w:rPr>
        <w:t>“Advocacy was offered at the interview stage. Chronology has been completed detailing recent and relevant information about incidents/risk of harm.” </w:t>
      </w:r>
    </w:p>
    <w:p w:rsidR="00DD3423" w:rsidRPr="00DD3423" w:rsidRDefault="00DD3423" w:rsidP="00DD3423">
      <w:pPr>
        <w:numPr>
          <w:ilvl w:val="0"/>
          <w:numId w:val="8"/>
        </w:numPr>
        <w:rPr>
          <w:sz w:val="24"/>
          <w:szCs w:val="24"/>
        </w:rPr>
      </w:pPr>
      <w:r w:rsidRPr="00DD3423">
        <w:rPr>
          <w:sz w:val="24"/>
          <w:szCs w:val="24"/>
        </w:rPr>
        <w:t>“Accurate, relevant and appropriate information Clear analysis / impact of self-neglect and wider risks identified.” </w:t>
      </w:r>
    </w:p>
    <w:p w:rsidR="00DD3423" w:rsidRPr="00DD3423" w:rsidRDefault="00DD3423" w:rsidP="00DD3423">
      <w:pPr>
        <w:numPr>
          <w:ilvl w:val="0"/>
          <w:numId w:val="9"/>
        </w:numPr>
        <w:ind w:left="1077" w:hanging="357"/>
        <w:rPr>
          <w:color w:val="0070C0"/>
          <w:sz w:val="28"/>
          <w:szCs w:val="28"/>
        </w:rPr>
      </w:pPr>
      <w:r w:rsidRPr="00DD3423">
        <w:rPr>
          <w:color w:val="0070C0"/>
          <w:sz w:val="28"/>
          <w:szCs w:val="28"/>
        </w:rPr>
        <w:t>Needs Improvement: </w:t>
      </w:r>
    </w:p>
    <w:p w:rsidR="00DD3423" w:rsidRPr="00DD3423" w:rsidRDefault="00DD3423" w:rsidP="00DD3423">
      <w:pPr>
        <w:numPr>
          <w:ilvl w:val="0"/>
          <w:numId w:val="10"/>
        </w:numPr>
        <w:rPr>
          <w:sz w:val="24"/>
          <w:szCs w:val="24"/>
        </w:rPr>
      </w:pPr>
      <w:r w:rsidRPr="00DD3423">
        <w:rPr>
          <w:sz w:val="24"/>
          <w:szCs w:val="24"/>
        </w:rPr>
        <w:t xml:space="preserve">“Lack of analysis of risk. </w:t>
      </w:r>
      <w:proofErr w:type="spellStart"/>
      <w:proofErr w:type="gramStart"/>
      <w:r w:rsidRPr="00DD3423">
        <w:rPr>
          <w:sz w:val="24"/>
          <w:szCs w:val="24"/>
        </w:rPr>
        <w:t>i.e</w:t>
      </w:r>
      <w:proofErr w:type="spellEnd"/>
      <w:proofErr w:type="gramEnd"/>
      <w:r w:rsidRPr="00DD3423">
        <w:rPr>
          <w:sz w:val="24"/>
          <w:szCs w:val="24"/>
        </w:rPr>
        <w:t xml:space="preserve"> impact of mental health on alcohol use.” </w:t>
      </w:r>
    </w:p>
    <w:p w:rsidR="00DD3423" w:rsidRPr="00DD3423" w:rsidRDefault="00DD3423" w:rsidP="00DD3423">
      <w:pPr>
        <w:numPr>
          <w:ilvl w:val="0"/>
          <w:numId w:val="11"/>
        </w:numPr>
        <w:rPr>
          <w:sz w:val="24"/>
          <w:szCs w:val="24"/>
        </w:rPr>
      </w:pPr>
      <w:r w:rsidRPr="00DD3423">
        <w:rPr>
          <w:sz w:val="24"/>
          <w:szCs w:val="24"/>
        </w:rPr>
        <w:t>“Lack of analysis of risk- in that section of the assessment more descriptive information was recorded.” </w:t>
      </w:r>
    </w:p>
    <w:p w:rsidR="00DD3423" w:rsidRDefault="00DD3423" w:rsidP="00DD3423">
      <w:pPr>
        <w:numPr>
          <w:ilvl w:val="0"/>
          <w:numId w:val="12"/>
        </w:numPr>
        <w:rPr>
          <w:sz w:val="24"/>
          <w:szCs w:val="24"/>
        </w:rPr>
      </w:pPr>
      <w:r w:rsidRPr="00DD3423">
        <w:rPr>
          <w:sz w:val="24"/>
          <w:szCs w:val="24"/>
        </w:rPr>
        <w:t>“Analysis could be strengthened and pattern noted more clearly – re times of day.” </w:t>
      </w:r>
    </w:p>
    <w:p w:rsidR="00DD3423" w:rsidRPr="00B1720E" w:rsidRDefault="00DD3423" w:rsidP="00DD3423">
      <w:pPr>
        <w:rPr>
          <w:sz w:val="24"/>
          <w:szCs w:val="24"/>
        </w:rPr>
      </w:pPr>
    </w:p>
    <w:p w:rsidR="00DD3423" w:rsidRPr="00B1720E" w:rsidRDefault="00DD3423" w:rsidP="00DD3423">
      <w:pPr>
        <w:pStyle w:val="ListParagraph"/>
        <w:numPr>
          <w:ilvl w:val="0"/>
          <w:numId w:val="2"/>
        </w:numPr>
        <w:rPr>
          <w:sz w:val="24"/>
          <w:szCs w:val="24"/>
          <w:u w:val="single"/>
        </w:rPr>
      </w:pPr>
      <w:r w:rsidRPr="00B1720E">
        <w:rPr>
          <w:color w:val="0070C0"/>
          <w:sz w:val="28"/>
          <w:szCs w:val="28"/>
          <w:u w:val="single"/>
        </w:rPr>
        <w:t>Feedback from staff questionnaire:</w:t>
      </w:r>
    </w:p>
    <w:p w:rsidR="001E5C5A" w:rsidRPr="001E5C5A" w:rsidRDefault="001E5C5A" w:rsidP="001E5C5A">
      <w:pPr>
        <w:numPr>
          <w:ilvl w:val="0"/>
          <w:numId w:val="13"/>
        </w:numPr>
        <w:ind w:left="1077" w:hanging="357"/>
        <w:rPr>
          <w:color w:val="0070C0"/>
          <w:sz w:val="28"/>
          <w:szCs w:val="28"/>
        </w:rPr>
      </w:pPr>
      <w:r w:rsidRPr="001E5C5A">
        <w:rPr>
          <w:color w:val="0070C0"/>
          <w:sz w:val="28"/>
          <w:szCs w:val="28"/>
        </w:rPr>
        <w:t>Key Strengths:  </w:t>
      </w:r>
    </w:p>
    <w:p w:rsidR="001E5C5A" w:rsidRPr="001E5C5A" w:rsidRDefault="001E5C5A" w:rsidP="001E5C5A">
      <w:pPr>
        <w:numPr>
          <w:ilvl w:val="0"/>
          <w:numId w:val="14"/>
        </w:numPr>
        <w:rPr>
          <w:sz w:val="24"/>
          <w:szCs w:val="24"/>
        </w:rPr>
      </w:pPr>
      <w:r w:rsidRPr="001E5C5A">
        <w:rPr>
          <w:sz w:val="24"/>
          <w:szCs w:val="24"/>
        </w:rPr>
        <w:t xml:space="preserve">“The ability to email the concern hub or speak directly to the PPU if needed. In addition I can speak to a NO from health if need be. Staff </w:t>
      </w:r>
      <w:proofErr w:type="gramStart"/>
      <w:r w:rsidRPr="001E5C5A">
        <w:rPr>
          <w:sz w:val="24"/>
          <w:szCs w:val="24"/>
        </w:rPr>
        <w:t>are</w:t>
      </w:r>
      <w:proofErr w:type="gramEnd"/>
      <w:r w:rsidRPr="001E5C5A">
        <w:rPr>
          <w:sz w:val="24"/>
          <w:szCs w:val="24"/>
        </w:rPr>
        <w:t xml:space="preserve"> more confident in terms of thinking things through in relation to the three point criteria.” </w:t>
      </w:r>
    </w:p>
    <w:p w:rsidR="001E5C5A" w:rsidRPr="001E5C5A" w:rsidRDefault="001E5C5A" w:rsidP="001E5C5A">
      <w:pPr>
        <w:numPr>
          <w:ilvl w:val="0"/>
          <w:numId w:val="15"/>
        </w:numPr>
        <w:rPr>
          <w:sz w:val="24"/>
          <w:szCs w:val="24"/>
        </w:rPr>
      </w:pPr>
      <w:r w:rsidRPr="001E5C5A">
        <w:rPr>
          <w:sz w:val="24"/>
          <w:szCs w:val="24"/>
        </w:rPr>
        <w:t xml:space="preserve">“As risk assessment is part of ASP3 document, it ensures one is always completed which I feel works really well. There </w:t>
      </w:r>
      <w:proofErr w:type="gramStart"/>
      <w:r w:rsidRPr="001E5C5A">
        <w:rPr>
          <w:sz w:val="24"/>
          <w:szCs w:val="24"/>
        </w:rPr>
        <w:t>is</w:t>
      </w:r>
      <w:proofErr w:type="gramEnd"/>
      <w:r w:rsidRPr="001E5C5A">
        <w:rPr>
          <w:sz w:val="24"/>
          <w:szCs w:val="24"/>
        </w:rPr>
        <w:t xml:space="preserve"> lots of prompts in the ASP3 document to ensure the risk assessment covers all concerns.” </w:t>
      </w:r>
    </w:p>
    <w:p w:rsidR="001E5C5A" w:rsidRPr="00695203" w:rsidRDefault="001E5C5A" w:rsidP="00695203">
      <w:pPr>
        <w:pStyle w:val="ListParagraph"/>
        <w:numPr>
          <w:ilvl w:val="0"/>
          <w:numId w:val="19"/>
        </w:numPr>
        <w:ind w:left="1077" w:hanging="357"/>
        <w:rPr>
          <w:color w:val="0070C0"/>
          <w:sz w:val="28"/>
          <w:szCs w:val="28"/>
        </w:rPr>
      </w:pPr>
      <w:r w:rsidRPr="00695203">
        <w:rPr>
          <w:color w:val="0070C0"/>
          <w:sz w:val="28"/>
          <w:szCs w:val="28"/>
        </w:rPr>
        <w:t>Needs Improvement:  </w:t>
      </w:r>
    </w:p>
    <w:p w:rsidR="001E5C5A" w:rsidRPr="001E5C5A" w:rsidRDefault="001E5C5A" w:rsidP="001E5C5A">
      <w:pPr>
        <w:numPr>
          <w:ilvl w:val="0"/>
          <w:numId w:val="17"/>
        </w:numPr>
        <w:rPr>
          <w:sz w:val="24"/>
          <w:szCs w:val="24"/>
        </w:rPr>
      </w:pPr>
      <w:r w:rsidRPr="001E5C5A">
        <w:rPr>
          <w:sz w:val="24"/>
          <w:szCs w:val="24"/>
        </w:rPr>
        <w:t>“Skill and confidence improvement in aiming for objective risk assessment for all parties involved in risk assessing. Commitment to a shared process and support with the logging of documentation across the partnership. Responsibility often falls to SW to risk assess in isolation, where a shared approach is required.” </w:t>
      </w:r>
    </w:p>
    <w:p w:rsidR="001E5C5A" w:rsidRDefault="001E5C5A" w:rsidP="001E5C5A">
      <w:pPr>
        <w:numPr>
          <w:ilvl w:val="0"/>
          <w:numId w:val="18"/>
        </w:numPr>
        <w:rPr>
          <w:sz w:val="24"/>
          <w:szCs w:val="24"/>
        </w:rPr>
      </w:pPr>
      <w:r w:rsidRPr="001E5C5A">
        <w:rPr>
          <w:sz w:val="24"/>
          <w:szCs w:val="24"/>
        </w:rPr>
        <w:t>“Text boxes are restricted which means you cannot always document all communication with other agencies.” </w:t>
      </w:r>
    </w:p>
    <w:p w:rsidR="00695203" w:rsidRPr="00B1720E" w:rsidRDefault="005C3A12" w:rsidP="00B1720E">
      <w:pPr>
        <w:pStyle w:val="ListParagraph"/>
        <w:numPr>
          <w:ilvl w:val="0"/>
          <w:numId w:val="19"/>
        </w:numPr>
        <w:ind w:left="1077" w:hanging="357"/>
        <w:rPr>
          <w:color w:val="0070C0"/>
          <w:sz w:val="28"/>
          <w:szCs w:val="28"/>
          <w:u w:val="single"/>
        </w:rPr>
      </w:pPr>
      <w:bookmarkStart w:id="3" w:name="_Hlk200028420"/>
      <w:r w:rsidRPr="00B1720E">
        <w:rPr>
          <w:color w:val="0070C0"/>
          <w:sz w:val="28"/>
          <w:szCs w:val="28"/>
          <w:u w:val="single"/>
        </w:rPr>
        <w:t>Summary of finding</w:t>
      </w:r>
      <w:r w:rsidR="00B1720E" w:rsidRPr="00B1720E">
        <w:rPr>
          <w:color w:val="0070C0"/>
          <w:sz w:val="28"/>
          <w:szCs w:val="28"/>
          <w:u w:val="single"/>
        </w:rPr>
        <w:t>s</w:t>
      </w:r>
    </w:p>
    <w:bookmarkEnd w:id="3"/>
    <w:p w:rsidR="005C3A12" w:rsidRPr="005C3A12" w:rsidRDefault="005C3A12" w:rsidP="005C3A12">
      <w:pPr>
        <w:rPr>
          <w:sz w:val="24"/>
          <w:szCs w:val="24"/>
        </w:rPr>
      </w:pPr>
      <w:r w:rsidRPr="005C3A12">
        <w:rPr>
          <w:sz w:val="24"/>
          <w:szCs w:val="24"/>
        </w:rPr>
        <w:t>The audit reveals a generally strong commitment to conducting risk assessments across adult protection cases. All cases had a risk assessment on file, and the majority were completed in a timely manner. There was consistent evidence of multi-agency involvement, particularly from police and health services, which enriched the assessments with diverse perspectives. This collaborative approach is a key strength. </w:t>
      </w:r>
    </w:p>
    <w:p w:rsidR="005C3A12" w:rsidRPr="005C3A12" w:rsidRDefault="005C3A12" w:rsidP="005C3A12">
      <w:pPr>
        <w:rPr>
          <w:sz w:val="24"/>
          <w:szCs w:val="24"/>
        </w:rPr>
      </w:pPr>
      <w:r w:rsidRPr="005C3A12">
        <w:rPr>
          <w:sz w:val="24"/>
          <w:szCs w:val="24"/>
        </w:rPr>
        <w:t xml:space="preserve">There were some excellent examples of good practice in risk assessment and analysis demonstrated, but the quality of risk assessments did vary. While many were rated as “Very Good” or “Excellent,” </w:t>
      </w:r>
      <w:proofErr w:type="gramStart"/>
      <w:r w:rsidRPr="005C3A12">
        <w:rPr>
          <w:sz w:val="24"/>
          <w:szCs w:val="24"/>
        </w:rPr>
        <w:t xml:space="preserve">a notable </w:t>
      </w:r>
      <w:r w:rsidRPr="005C3A12">
        <w:rPr>
          <w:sz w:val="24"/>
          <w:szCs w:val="24"/>
        </w:rPr>
        <w:lastRenderedPageBreak/>
        <w:t>proportion were</w:t>
      </w:r>
      <w:proofErr w:type="gramEnd"/>
      <w:r w:rsidRPr="005C3A12">
        <w:rPr>
          <w:sz w:val="24"/>
          <w:szCs w:val="24"/>
        </w:rPr>
        <w:t xml:space="preserve"> only “Adequate” or “Poor.” Common issues included a lack of analytical depth, over-reliance on descriptive chronologies, and insufficient exploration of protective factors. In some cases, the assessments failed to clearly articulate the immediacy or severity of risk, or to reflect the adult’s own views and capacity. These gaps suggest a need for more robust inclusion of analytical writing and risk formulation to be included in the Level 3 Council Officer training or for this to be picked up as a separate learning and development need.  </w:t>
      </w:r>
    </w:p>
    <w:p w:rsidR="005C3A12" w:rsidRDefault="005C3A12" w:rsidP="005C3A12">
      <w:pPr>
        <w:rPr>
          <w:sz w:val="24"/>
          <w:szCs w:val="24"/>
        </w:rPr>
      </w:pPr>
      <w:r w:rsidRPr="005C3A12">
        <w:rPr>
          <w:sz w:val="24"/>
          <w:szCs w:val="24"/>
        </w:rPr>
        <w:t>Encouragingly, most concerns regarding protection-type risks were reported as being adequately addressed. Where they were not, the reasons often related to systemic delays, unsuccessful attempts to engage the adult, or unresolved or ongoing capacity issues. This highlights the complexity of adult protection work and the importance of balancing protection interventions with the needs and wishes of the person. </w:t>
      </w:r>
    </w:p>
    <w:p w:rsidR="00C21DA4" w:rsidRDefault="00C21DA4" w:rsidP="005C3A12">
      <w:pPr>
        <w:rPr>
          <w:sz w:val="24"/>
          <w:szCs w:val="24"/>
        </w:rPr>
      </w:pPr>
    </w:p>
    <w:p w:rsidR="00C21DA4" w:rsidRDefault="00C21DA4" w:rsidP="00C21DA4">
      <w:pPr>
        <w:pStyle w:val="ListParagraph"/>
        <w:numPr>
          <w:ilvl w:val="0"/>
          <w:numId w:val="1"/>
        </w:numPr>
        <w:rPr>
          <w:b/>
          <w:bCs/>
          <w:color w:val="0070C0"/>
          <w:sz w:val="28"/>
          <w:szCs w:val="28"/>
          <w:u w:val="single"/>
        </w:rPr>
      </w:pPr>
      <w:r w:rsidRPr="00C21DA4">
        <w:rPr>
          <w:b/>
          <w:bCs/>
          <w:color w:val="0070C0"/>
          <w:sz w:val="28"/>
          <w:szCs w:val="28"/>
          <w:u w:val="single"/>
        </w:rPr>
        <w:t xml:space="preserve">Protection Planning </w:t>
      </w:r>
    </w:p>
    <w:p w:rsidR="00C21DA4" w:rsidRPr="002A4CE5" w:rsidRDefault="00766114" w:rsidP="00C21DA4">
      <w:pPr>
        <w:rPr>
          <w:rStyle w:val="eop"/>
          <w:rFonts w:cstheme="minorHAnsi"/>
          <w:color w:val="000000"/>
          <w:sz w:val="24"/>
          <w:szCs w:val="24"/>
          <w:shd w:val="clear" w:color="auto" w:fill="FFFFFF"/>
        </w:rPr>
      </w:pPr>
      <w:r w:rsidRPr="00766114">
        <w:rPr>
          <w:rStyle w:val="normaltextrun"/>
          <w:color w:val="000000"/>
          <w:sz w:val="24"/>
          <w:szCs w:val="24"/>
          <w:shd w:val="clear" w:color="auto" w:fill="FFFFFF"/>
          <w:lang w:val="en-US"/>
        </w:rPr>
        <w:t>This section reviews the quality and effectiveness of protection plans developed in response to identified risks.</w:t>
      </w:r>
      <w:r w:rsidRPr="00766114">
        <w:rPr>
          <w:rStyle w:val="eop"/>
          <w:color w:val="000000"/>
          <w:sz w:val="24"/>
          <w:szCs w:val="24"/>
          <w:shd w:val="clear" w:color="auto" w:fill="FFFFFF"/>
        </w:rPr>
        <w:t> </w:t>
      </w:r>
    </w:p>
    <w:p w:rsidR="00E37F92" w:rsidRPr="00CC17DB" w:rsidRDefault="002A4CE5" w:rsidP="002A4CE5">
      <w:pPr>
        <w:pStyle w:val="ListParagraph"/>
        <w:numPr>
          <w:ilvl w:val="0"/>
          <w:numId w:val="19"/>
        </w:numPr>
        <w:ind w:left="1077" w:hanging="357"/>
        <w:rPr>
          <w:rStyle w:val="eop"/>
          <w:rFonts w:cstheme="minorHAnsi"/>
          <w:b/>
          <w:bCs/>
          <w:color w:val="0070C0"/>
          <w:sz w:val="28"/>
          <w:szCs w:val="28"/>
          <w:u w:val="single"/>
        </w:rPr>
      </w:pPr>
      <w:r w:rsidRPr="00CC17DB">
        <w:rPr>
          <w:rStyle w:val="normaltextrun"/>
          <w:rFonts w:cstheme="minorHAnsi"/>
          <w:color w:val="0070C0"/>
          <w:sz w:val="28"/>
          <w:szCs w:val="28"/>
          <w:shd w:val="clear" w:color="auto" w:fill="FFFFFF"/>
          <w:lang w:val="en-US"/>
        </w:rPr>
        <w:t xml:space="preserve">Percentage of cases with a protection plan in place: </w:t>
      </w:r>
      <w:r w:rsidRPr="00CC17DB">
        <w:rPr>
          <w:rStyle w:val="eop"/>
          <w:rFonts w:cstheme="minorHAnsi"/>
          <w:color w:val="0070C0"/>
          <w:sz w:val="28"/>
          <w:szCs w:val="28"/>
          <w:shd w:val="clear" w:color="auto" w:fill="FFFFFF"/>
        </w:rPr>
        <w:t> </w:t>
      </w:r>
    </w:p>
    <w:p w:rsidR="002A4CE5" w:rsidRDefault="00DC1370" w:rsidP="00DC1370">
      <w:pPr>
        <w:rPr>
          <w:rFonts w:cstheme="minorHAnsi"/>
          <w:b/>
          <w:bCs/>
          <w:color w:val="0070C0"/>
          <w:sz w:val="24"/>
          <w:szCs w:val="24"/>
          <w:u w:val="single"/>
        </w:rPr>
      </w:pPr>
      <w:r>
        <w:rPr>
          <w:noProof/>
          <w:lang w:eastAsia="en-GB"/>
        </w:rPr>
        <w:drawing>
          <wp:inline distT="0" distB="0" distL="0" distR="0">
            <wp:extent cx="6198406" cy="3435850"/>
            <wp:effectExtent l="0" t="0" r="2540" b="0"/>
            <wp:docPr id="1417955000" name="Picture 5" descr="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98406" cy="3435850"/>
                    </a:xfrm>
                    <a:prstGeom prst="rect">
                      <a:avLst/>
                    </a:prstGeom>
                  </pic:spPr>
                </pic:pic>
              </a:graphicData>
            </a:graphic>
          </wp:inline>
        </w:drawing>
      </w:r>
      <w:r>
        <w:br/>
      </w:r>
    </w:p>
    <w:p w:rsidR="00896975" w:rsidRDefault="00896975" w:rsidP="00DC1370">
      <w:pPr>
        <w:rPr>
          <w:rFonts w:cstheme="minorHAnsi"/>
          <w:b/>
          <w:bCs/>
          <w:color w:val="0070C0"/>
          <w:sz w:val="24"/>
          <w:szCs w:val="24"/>
          <w:u w:val="single"/>
        </w:rPr>
      </w:pPr>
    </w:p>
    <w:p w:rsidR="00896975" w:rsidRDefault="00896975" w:rsidP="00DC1370">
      <w:pPr>
        <w:rPr>
          <w:rFonts w:cstheme="minorHAnsi"/>
          <w:b/>
          <w:bCs/>
          <w:color w:val="0070C0"/>
          <w:sz w:val="24"/>
          <w:szCs w:val="24"/>
          <w:u w:val="single"/>
        </w:rPr>
      </w:pPr>
    </w:p>
    <w:p w:rsidR="00896975" w:rsidRDefault="00CC17DB" w:rsidP="00CC17DB">
      <w:pPr>
        <w:pStyle w:val="ListParagraph"/>
        <w:numPr>
          <w:ilvl w:val="0"/>
          <w:numId w:val="19"/>
        </w:numPr>
        <w:ind w:left="1077" w:hanging="357"/>
        <w:rPr>
          <w:rFonts w:cstheme="minorHAnsi"/>
          <w:color w:val="0070C0"/>
          <w:sz w:val="28"/>
          <w:szCs w:val="28"/>
        </w:rPr>
      </w:pPr>
      <w:r w:rsidRPr="00CC17DB">
        <w:rPr>
          <w:rFonts w:cstheme="minorHAnsi"/>
          <w:color w:val="0070C0"/>
          <w:sz w:val="28"/>
          <w:szCs w:val="28"/>
        </w:rPr>
        <w:t>Quality of Protection Plan</w:t>
      </w:r>
      <w:r w:rsidR="008A3BEA">
        <w:rPr>
          <w:rFonts w:cstheme="minorHAnsi"/>
          <w:color w:val="0070C0"/>
          <w:sz w:val="28"/>
          <w:szCs w:val="28"/>
        </w:rPr>
        <w:t>:</w:t>
      </w:r>
    </w:p>
    <w:p w:rsidR="008A3BEA" w:rsidRPr="008A3BEA" w:rsidRDefault="00572C6C" w:rsidP="00D2387D">
      <w:pPr>
        <w:jc w:val="center"/>
        <w:rPr>
          <w:rFonts w:cstheme="minorHAnsi"/>
          <w:color w:val="0070C0"/>
          <w:sz w:val="28"/>
          <w:szCs w:val="28"/>
        </w:rPr>
      </w:pPr>
      <w:r>
        <w:rPr>
          <w:noProof/>
          <w:lang w:eastAsia="en-GB"/>
        </w:rPr>
        <w:lastRenderedPageBreak/>
        <w:drawing>
          <wp:inline distT="0" distB="0" distL="0" distR="0">
            <wp:extent cx="5581648" cy="4046612"/>
            <wp:effectExtent l="0" t="0" r="0" b="7620"/>
            <wp:docPr id="1520849364" name="Picture 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81648" cy="4046612"/>
                    </a:xfrm>
                    <a:prstGeom prst="rect">
                      <a:avLst/>
                    </a:prstGeom>
                  </pic:spPr>
                </pic:pic>
              </a:graphicData>
            </a:graphic>
          </wp:inline>
        </w:drawing>
      </w:r>
      <w:r>
        <w:br/>
      </w:r>
    </w:p>
    <w:p w:rsidR="00896975" w:rsidRDefault="00D2387D" w:rsidP="00D2387D">
      <w:pPr>
        <w:jc w:val="center"/>
        <w:rPr>
          <w:rFonts w:cstheme="minorHAnsi"/>
          <w:b/>
          <w:bCs/>
          <w:color w:val="0070C0"/>
          <w:sz w:val="24"/>
          <w:szCs w:val="24"/>
          <w:u w:val="single"/>
        </w:rPr>
      </w:pPr>
      <w:r w:rsidRPr="00D2387D">
        <w:rPr>
          <w:rFonts w:cstheme="minorHAnsi"/>
          <w:b/>
          <w:bCs/>
          <w:noProof/>
          <w:color w:val="0070C0"/>
          <w:sz w:val="24"/>
          <w:szCs w:val="24"/>
          <w:u w:val="single"/>
          <w:lang w:eastAsia="en-GB"/>
        </w:rPr>
        <w:drawing>
          <wp:inline distT="0" distB="0" distL="0" distR="0">
            <wp:extent cx="5410200" cy="3829050"/>
            <wp:effectExtent l="0" t="0" r="0" b="0"/>
            <wp:docPr id="1358999538" name="Picture 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10200" cy="3829050"/>
                    </a:xfrm>
                    <a:prstGeom prst="rect">
                      <a:avLst/>
                    </a:prstGeom>
                    <a:noFill/>
                    <a:ln>
                      <a:noFill/>
                    </a:ln>
                  </pic:spPr>
                </pic:pic>
              </a:graphicData>
            </a:graphic>
          </wp:inline>
        </w:drawing>
      </w:r>
      <w:r w:rsidRPr="00D2387D">
        <w:rPr>
          <w:rFonts w:cstheme="minorHAnsi"/>
          <w:b/>
          <w:bCs/>
          <w:color w:val="0070C0"/>
          <w:sz w:val="24"/>
          <w:szCs w:val="24"/>
          <w:u w:val="single"/>
        </w:rPr>
        <w:br/>
      </w:r>
    </w:p>
    <w:p w:rsidR="00896975" w:rsidRDefault="00896975" w:rsidP="4DD22D3C">
      <w:pPr>
        <w:rPr>
          <w:b/>
          <w:bCs/>
          <w:color w:val="0070C0"/>
          <w:sz w:val="24"/>
          <w:szCs w:val="24"/>
          <w:u w:val="single"/>
        </w:rPr>
      </w:pPr>
    </w:p>
    <w:p w:rsidR="4DD22D3C" w:rsidRDefault="4DD22D3C" w:rsidP="4DD22D3C">
      <w:pPr>
        <w:rPr>
          <w:b/>
          <w:bCs/>
          <w:color w:val="0070C0"/>
          <w:sz w:val="24"/>
          <w:szCs w:val="24"/>
          <w:u w:val="single"/>
        </w:rPr>
      </w:pPr>
    </w:p>
    <w:p w:rsidR="00896975" w:rsidRPr="002A4CE5" w:rsidRDefault="00896975" w:rsidP="00DC1370">
      <w:pPr>
        <w:rPr>
          <w:rFonts w:cstheme="minorHAnsi"/>
          <w:b/>
          <w:bCs/>
          <w:color w:val="0070C0"/>
          <w:sz w:val="24"/>
          <w:szCs w:val="24"/>
          <w:u w:val="single"/>
        </w:rPr>
      </w:pPr>
    </w:p>
    <w:p w:rsidR="005C3A12" w:rsidRPr="00ED2B0C" w:rsidRDefault="00ED2B0C" w:rsidP="00695203">
      <w:pPr>
        <w:pStyle w:val="ListParagraph"/>
        <w:numPr>
          <w:ilvl w:val="0"/>
          <w:numId w:val="2"/>
        </w:numPr>
        <w:ind w:left="1077" w:hanging="357"/>
        <w:rPr>
          <w:color w:val="0070C0"/>
          <w:sz w:val="28"/>
          <w:szCs w:val="28"/>
          <w:u w:val="single"/>
        </w:rPr>
      </w:pPr>
      <w:r w:rsidRPr="00B1720E">
        <w:rPr>
          <w:color w:val="0070C0"/>
          <w:sz w:val="28"/>
          <w:szCs w:val="28"/>
          <w:u w:val="single"/>
        </w:rPr>
        <w:lastRenderedPageBreak/>
        <w:t>Questionnaire Results:</w:t>
      </w:r>
    </w:p>
    <w:p w:rsidR="00ED2B0C" w:rsidRDefault="00ED2B0C" w:rsidP="001E5C5A">
      <w:pPr>
        <w:rPr>
          <w:sz w:val="24"/>
          <w:szCs w:val="24"/>
        </w:rPr>
      </w:pPr>
      <w:r w:rsidRPr="00ED2B0C">
        <w:rPr>
          <w:noProof/>
          <w:sz w:val="24"/>
          <w:szCs w:val="24"/>
          <w:lang w:eastAsia="en-GB"/>
        </w:rPr>
        <w:drawing>
          <wp:inline distT="0" distB="0" distL="0" distR="0">
            <wp:extent cx="6864350" cy="3571875"/>
            <wp:effectExtent l="0" t="0" r="0" b="9525"/>
            <wp:docPr id="116932758" name="Picture 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72895" cy="3576321"/>
                    </a:xfrm>
                    <a:prstGeom prst="rect">
                      <a:avLst/>
                    </a:prstGeom>
                    <a:noFill/>
                    <a:ln>
                      <a:noFill/>
                    </a:ln>
                  </pic:spPr>
                </pic:pic>
              </a:graphicData>
            </a:graphic>
          </wp:inline>
        </w:drawing>
      </w:r>
    </w:p>
    <w:p w:rsidR="00ED2B0C" w:rsidRDefault="00ED2B0C" w:rsidP="00664070">
      <w:pPr>
        <w:pStyle w:val="ListParagraph"/>
        <w:numPr>
          <w:ilvl w:val="0"/>
          <w:numId w:val="2"/>
        </w:numPr>
        <w:ind w:left="1077" w:hanging="357"/>
        <w:rPr>
          <w:color w:val="0070C0"/>
          <w:sz w:val="28"/>
          <w:szCs w:val="28"/>
          <w:u w:val="single"/>
        </w:rPr>
      </w:pPr>
      <w:bookmarkStart w:id="4" w:name="_Hlk200028797"/>
      <w:r w:rsidRPr="00B1720E">
        <w:rPr>
          <w:color w:val="0070C0"/>
          <w:sz w:val="28"/>
          <w:szCs w:val="28"/>
          <w:u w:val="single"/>
        </w:rPr>
        <w:t>Comments from audit reader</w:t>
      </w:r>
      <w:r w:rsidR="00265FDF">
        <w:rPr>
          <w:color w:val="0070C0"/>
          <w:sz w:val="28"/>
          <w:szCs w:val="28"/>
          <w:u w:val="single"/>
        </w:rPr>
        <w:t>s</w:t>
      </w:r>
      <w:r w:rsidRPr="00B1720E">
        <w:rPr>
          <w:color w:val="0070C0"/>
          <w:sz w:val="28"/>
          <w:szCs w:val="28"/>
          <w:u w:val="single"/>
        </w:rPr>
        <w:t xml:space="preserve"> on </w:t>
      </w:r>
      <w:bookmarkEnd w:id="4"/>
      <w:r w:rsidR="00265FDF">
        <w:rPr>
          <w:color w:val="0070C0"/>
          <w:sz w:val="28"/>
          <w:szCs w:val="28"/>
          <w:u w:val="single"/>
        </w:rPr>
        <w:t>protection plans</w:t>
      </w:r>
      <w:r w:rsidRPr="00B1720E">
        <w:rPr>
          <w:color w:val="0070C0"/>
          <w:sz w:val="28"/>
          <w:szCs w:val="28"/>
          <w:u w:val="single"/>
        </w:rPr>
        <w:t>:</w:t>
      </w:r>
    </w:p>
    <w:p w:rsidR="00ED2B0C" w:rsidRDefault="00ED2B0C" w:rsidP="00ED2B0C">
      <w:pPr>
        <w:numPr>
          <w:ilvl w:val="0"/>
          <w:numId w:val="2"/>
        </w:numPr>
        <w:rPr>
          <w:color w:val="0070C0"/>
          <w:sz w:val="28"/>
          <w:szCs w:val="28"/>
        </w:rPr>
      </w:pPr>
      <w:r w:rsidRPr="00DD3423">
        <w:rPr>
          <w:color w:val="0070C0"/>
          <w:sz w:val="28"/>
          <w:szCs w:val="28"/>
        </w:rPr>
        <w:t>Key Strengths: </w:t>
      </w:r>
    </w:p>
    <w:p w:rsidR="001B66D0" w:rsidRPr="001B66D0" w:rsidRDefault="001B66D0" w:rsidP="001B66D0">
      <w:pPr>
        <w:numPr>
          <w:ilvl w:val="0"/>
          <w:numId w:val="2"/>
        </w:numPr>
        <w:tabs>
          <w:tab w:val="num" w:pos="720"/>
        </w:tabs>
        <w:rPr>
          <w:sz w:val="24"/>
          <w:szCs w:val="24"/>
        </w:rPr>
      </w:pPr>
      <w:r w:rsidRPr="001B66D0">
        <w:rPr>
          <w:sz w:val="24"/>
          <w:szCs w:val="24"/>
        </w:rPr>
        <w:t>Actions are shared across disciplines. Clear timescales attached and intended outcomes recorded clearly. Thorough.” </w:t>
      </w:r>
    </w:p>
    <w:p w:rsidR="001B66D0" w:rsidRPr="001B66D0" w:rsidRDefault="001B66D0" w:rsidP="001B66D0">
      <w:pPr>
        <w:numPr>
          <w:ilvl w:val="0"/>
          <w:numId w:val="2"/>
        </w:numPr>
        <w:tabs>
          <w:tab w:val="num" w:pos="720"/>
        </w:tabs>
        <w:rPr>
          <w:sz w:val="24"/>
          <w:szCs w:val="24"/>
        </w:rPr>
      </w:pPr>
      <w:r w:rsidRPr="001B66D0">
        <w:rPr>
          <w:sz w:val="24"/>
          <w:szCs w:val="24"/>
        </w:rPr>
        <w:t>“SMART goals – clear timescales - relevant actions in relation to risk.” </w:t>
      </w:r>
    </w:p>
    <w:p w:rsidR="001B66D0" w:rsidRPr="001B66D0" w:rsidRDefault="001B66D0" w:rsidP="001B66D0">
      <w:pPr>
        <w:numPr>
          <w:ilvl w:val="0"/>
          <w:numId w:val="2"/>
        </w:numPr>
        <w:rPr>
          <w:sz w:val="24"/>
          <w:szCs w:val="24"/>
        </w:rPr>
      </w:pPr>
      <w:r w:rsidRPr="001B66D0">
        <w:rPr>
          <w:sz w:val="24"/>
          <w:szCs w:val="24"/>
        </w:rPr>
        <w:t>“Focuses on the key areas of risk- namely around sexual exploitation. Included actions for other professionals and family.” </w:t>
      </w:r>
    </w:p>
    <w:p w:rsidR="001B66D0" w:rsidRPr="001B66D0" w:rsidRDefault="001B66D0" w:rsidP="001B66D0">
      <w:pPr>
        <w:numPr>
          <w:ilvl w:val="0"/>
          <w:numId w:val="2"/>
        </w:numPr>
        <w:rPr>
          <w:color w:val="0070C0"/>
          <w:sz w:val="28"/>
          <w:szCs w:val="28"/>
        </w:rPr>
      </w:pPr>
      <w:r w:rsidRPr="001B66D0">
        <w:rPr>
          <w:color w:val="0070C0"/>
          <w:sz w:val="28"/>
          <w:szCs w:val="28"/>
        </w:rPr>
        <w:t>Needs Improvement: </w:t>
      </w:r>
    </w:p>
    <w:p w:rsidR="001B66D0" w:rsidRPr="001B66D0" w:rsidRDefault="001B66D0" w:rsidP="001B66D0">
      <w:pPr>
        <w:numPr>
          <w:ilvl w:val="0"/>
          <w:numId w:val="2"/>
        </w:numPr>
        <w:rPr>
          <w:sz w:val="24"/>
          <w:szCs w:val="24"/>
        </w:rPr>
      </w:pPr>
      <w:r w:rsidRPr="001B66D0">
        <w:rPr>
          <w:sz w:val="24"/>
          <w:szCs w:val="24"/>
        </w:rPr>
        <w:t>“Try to avoid vague timescales. Ensure intended outcomes are person centred. Would like to see the outcomes being more specific to what the person sees them to be.” </w:t>
      </w:r>
    </w:p>
    <w:p w:rsidR="001B66D0" w:rsidRPr="001B66D0" w:rsidRDefault="001B66D0" w:rsidP="001B66D0">
      <w:pPr>
        <w:numPr>
          <w:ilvl w:val="0"/>
          <w:numId w:val="2"/>
        </w:numPr>
        <w:rPr>
          <w:sz w:val="24"/>
          <w:szCs w:val="24"/>
        </w:rPr>
      </w:pPr>
      <w:r w:rsidRPr="001B66D0">
        <w:rPr>
          <w:sz w:val="24"/>
          <w:szCs w:val="24"/>
        </w:rPr>
        <w:t xml:space="preserve">“A bit too long in places and could have been more concise. Would have </w:t>
      </w:r>
      <w:proofErr w:type="gramStart"/>
      <w:r w:rsidRPr="001B66D0">
        <w:rPr>
          <w:sz w:val="24"/>
          <w:szCs w:val="24"/>
        </w:rPr>
        <w:t>like</w:t>
      </w:r>
      <w:proofErr w:type="gramEnd"/>
      <w:r w:rsidRPr="001B66D0">
        <w:rPr>
          <w:sz w:val="24"/>
          <w:szCs w:val="24"/>
        </w:rPr>
        <w:t xml:space="preserve"> to have seen the protection plan possibly targeting the higher risks first.” </w:t>
      </w:r>
    </w:p>
    <w:p w:rsidR="001B66D0" w:rsidRPr="001B66D0" w:rsidRDefault="001B66D0" w:rsidP="001B66D0">
      <w:pPr>
        <w:numPr>
          <w:ilvl w:val="0"/>
          <w:numId w:val="2"/>
        </w:numPr>
        <w:rPr>
          <w:sz w:val="24"/>
          <w:szCs w:val="24"/>
        </w:rPr>
      </w:pPr>
      <w:r w:rsidRPr="001B66D0">
        <w:rPr>
          <w:sz w:val="24"/>
          <w:szCs w:val="24"/>
        </w:rPr>
        <w:t>“Intended outcomes need to be person centred. ‘Self-explanatory’ is not appropriate. Outcomes need to be able to be measured.” </w:t>
      </w:r>
    </w:p>
    <w:p w:rsidR="001B66D0" w:rsidRPr="00DD3423" w:rsidRDefault="001B66D0" w:rsidP="001B66D0">
      <w:pPr>
        <w:ind w:left="1069"/>
        <w:rPr>
          <w:color w:val="0070C0"/>
          <w:sz w:val="28"/>
          <w:szCs w:val="28"/>
        </w:rPr>
      </w:pPr>
    </w:p>
    <w:p w:rsidR="00ED2B0C" w:rsidRPr="00ED2B0C" w:rsidRDefault="00ED2B0C" w:rsidP="00ED2B0C">
      <w:pPr>
        <w:rPr>
          <w:color w:val="0070C0"/>
          <w:sz w:val="28"/>
          <w:szCs w:val="28"/>
          <w:u w:val="single"/>
        </w:rPr>
      </w:pPr>
    </w:p>
    <w:p w:rsidR="001E5C5A" w:rsidRPr="001E5C5A" w:rsidRDefault="00ED2B0C" w:rsidP="001E5C5A">
      <w:pPr>
        <w:rPr>
          <w:sz w:val="24"/>
          <w:szCs w:val="24"/>
        </w:rPr>
      </w:pPr>
      <w:r w:rsidRPr="00ED2B0C">
        <w:rPr>
          <w:sz w:val="24"/>
          <w:szCs w:val="24"/>
        </w:rPr>
        <w:br/>
      </w:r>
    </w:p>
    <w:p w:rsidR="00727831" w:rsidRPr="00727831" w:rsidRDefault="00727831" w:rsidP="0045683A">
      <w:pPr>
        <w:numPr>
          <w:ilvl w:val="0"/>
          <w:numId w:val="2"/>
        </w:numPr>
        <w:ind w:left="1077" w:hanging="357"/>
        <w:rPr>
          <w:color w:val="0070C0"/>
          <w:sz w:val="28"/>
          <w:szCs w:val="28"/>
          <w:u w:val="single"/>
        </w:rPr>
      </w:pPr>
      <w:r w:rsidRPr="00727831">
        <w:rPr>
          <w:color w:val="0070C0"/>
          <w:sz w:val="28"/>
          <w:szCs w:val="28"/>
          <w:u w:val="single"/>
        </w:rPr>
        <w:lastRenderedPageBreak/>
        <w:t>Feedback from staff questionnaire:</w:t>
      </w:r>
    </w:p>
    <w:p w:rsidR="0045683A" w:rsidRPr="0045683A" w:rsidRDefault="0045683A" w:rsidP="0054465D">
      <w:pPr>
        <w:numPr>
          <w:ilvl w:val="0"/>
          <w:numId w:val="34"/>
        </w:numPr>
        <w:ind w:left="1077" w:hanging="357"/>
        <w:rPr>
          <w:color w:val="0070C0"/>
          <w:sz w:val="28"/>
          <w:szCs w:val="28"/>
        </w:rPr>
      </w:pPr>
      <w:r w:rsidRPr="0045683A">
        <w:rPr>
          <w:color w:val="0070C0"/>
          <w:sz w:val="28"/>
          <w:szCs w:val="28"/>
        </w:rPr>
        <w:t>Key Strengths:  </w:t>
      </w:r>
    </w:p>
    <w:p w:rsidR="0045683A" w:rsidRPr="0045683A" w:rsidRDefault="0045683A" w:rsidP="0045683A">
      <w:pPr>
        <w:numPr>
          <w:ilvl w:val="0"/>
          <w:numId w:val="35"/>
        </w:numPr>
        <w:rPr>
          <w:sz w:val="24"/>
          <w:szCs w:val="24"/>
        </w:rPr>
      </w:pPr>
      <w:r w:rsidRPr="0045683A">
        <w:rPr>
          <w:sz w:val="24"/>
          <w:szCs w:val="24"/>
          <w:lang w:val="en-US"/>
        </w:rPr>
        <w:t>Willingness from Professionals and Providers to formulate plans that have the interests of the individual (The adult at risk) at heart.</w:t>
      </w:r>
      <w:r w:rsidRPr="0045683A">
        <w:rPr>
          <w:sz w:val="24"/>
          <w:szCs w:val="24"/>
        </w:rPr>
        <w:t> </w:t>
      </w:r>
    </w:p>
    <w:p w:rsidR="0045683A" w:rsidRPr="0045683A" w:rsidRDefault="0045683A" w:rsidP="0045683A">
      <w:pPr>
        <w:numPr>
          <w:ilvl w:val="0"/>
          <w:numId w:val="36"/>
        </w:numPr>
        <w:rPr>
          <w:sz w:val="24"/>
          <w:szCs w:val="24"/>
        </w:rPr>
      </w:pPr>
      <w:r w:rsidRPr="0045683A">
        <w:rPr>
          <w:sz w:val="24"/>
          <w:szCs w:val="24"/>
          <w:lang w:val="en-US"/>
        </w:rPr>
        <w:t>Protection plan agreed with all professionals at meeting.</w:t>
      </w:r>
      <w:r w:rsidRPr="0045683A">
        <w:rPr>
          <w:sz w:val="24"/>
          <w:szCs w:val="24"/>
        </w:rPr>
        <w:t> </w:t>
      </w:r>
    </w:p>
    <w:p w:rsidR="0045683A" w:rsidRPr="0045683A" w:rsidRDefault="0045683A" w:rsidP="0054465D">
      <w:pPr>
        <w:numPr>
          <w:ilvl w:val="0"/>
          <w:numId w:val="37"/>
        </w:numPr>
        <w:ind w:left="1077" w:hanging="357"/>
        <w:rPr>
          <w:color w:val="0070C0"/>
          <w:sz w:val="28"/>
          <w:szCs w:val="28"/>
        </w:rPr>
      </w:pPr>
      <w:r w:rsidRPr="0045683A">
        <w:rPr>
          <w:color w:val="0070C0"/>
          <w:sz w:val="28"/>
          <w:szCs w:val="28"/>
          <w:lang w:val="en-US"/>
        </w:rPr>
        <w:t xml:space="preserve">Needs Improvement: </w:t>
      </w:r>
      <w:r w:rsidRPr="0045683A">
        <w:rPr>
          <w:color w:val="0070C0"/>
          <w:sz w:val="28"/>
          <w:szCs w:val="28"/>
        </w:rPr>
        <w:t> </w:t>
      </w:r>
    </w:p>
    <w:p w:rsidR="0045683A" w:rsidRPr="0045683A" w:rsidRDefault="0045683A" w:rsidP="00C12266">
      <w:pPr>
        <w:numPr>
          <w:ilvl w:val="0"/>
          <w:numId w:val="40"/>
        </w:numPr>
        <w:ind w:left="714" w:hanging="357"/>
        <w:rPr>
          <w:sz w:val="24"/>
          <w:szCs w:val="24"/>
        </w:rPr>
      </w:pPr>
      <w:r w:rsidRPr="0045683A">
        <w:rPr>
          <w:sz w:val="24"/>
          <w:szCs w:val="24"/>
          <w:lang w:val="en-US"/>
        </w:rPr>
        <w:t>The style</w:t>
      </w:r>
      <w:r>
        <w:rPr>
          <w:sz w:val="24"/>
          <w:szCs w:val="24"/>
          <w:lang w:val="en-US"/>
        </w:rPr>
        <w:t xml:space="preserve"> </w:t>
      </w:r>
      <w:r w:rsidRPr="0045683A">
        <w:rPr>
          <w:sz w:val="24"/>
          <w:szCs w:val="24"/>
          <w:lang w:val="en-US"/>
        </w:rPr>
        <w:t>&amp; format of how the plan is written could be more overtly linked to the presenting risk. Each partner agency or formal/informal support should be clear what they are able to offer and for them to have made the link /understand what the desired or agreed outcome is and how this alters the risk .This should have already been discussed in a risk context with the focus person and relevant family /carers and what they can offer to support /reduce/address with an understandable linked outcome.</w:t>
      </w:r>
      <w:r w:rsidRPr="0045683A">
        <w:rPr>
          <w:sz w:val="24"/>
          <w:szCs w:val="24"/>
        </w:rPr>
        <w:t> </w:t>
      </w:r>
    </w:p>
    <w:p w:rsidR="0045683A" w:rsidRDefault="0045683A" w:rsidP="00C12266">
      <w:pPr>
        <w:numPr>
          <w:ilvl w:val="0"/>
          <w:numId w:val="40"/>
        </w:numPr>
        <w:ind w:left="714" w:hanging="357"/>
        <w:rPr>
          <w:sz w:val="24"/>
          <w:szCs w:val="24"/>
        </w:rPr>
      </w:pPr>
      <w:r w:rsidRPr="0045683A">
        <w:rPr>
          <w:sz w:val="24"/>
          <w:szCs w:val="24"/>
          <w:lang w:val="en-US"/>
        </w:rPr>
        <w:t>Plans are often static and not dynamic.</w:t>
      </w:r>
      <w:r w:rsidRPr="0045683A">
        <w:rPr>
          <w:sz w:val="24"/>
          <w:szCs w:val="24"/>
        </w:rPr>
        <w:t> </w:t>
      </w:r>
    </w:p>
    <w:p w:rsidR="00C12266" w:rsidRPr="0045683A" w:rsidRDefault="00C12266" w:rsidP="00C12266">
      <w:pPr>
        <w:ind w:left="714"/>
        <w:rPr>
          <w:sz w:val="24"/>
          <w:szCs w:val="24"/>
        </w:rPr>
      </w:pPr>
    </w:p>
    <w:p w:rsidR="00C12266" w:rsidRPr="00B1720E" w:rsidRDefault="00C12266" w:rsidP="00C12266">
      <w:pPr>
        <w:pStyle w:val="ListParagraph"/>
        <w:numPr>
          <w:ilvl w:val="0"/>
          <w:numId w:val="19"/>
        </w:numPr>
        <w:ind w:left="1077" w:hanging="357"/>
        <w:rPr>
          <w:color w:val="0070C0"/>
          <w:sz w:val="28"/>
          <w:szCs w:val="28"/>
          <w:u w:val="single"/>
        </w:rPr>
      </w:pPr>
      <w:r w:rsidRPr="00B1720E">
        <w:rPr>
          <w:color w:val="0070C0"/>
          <w:sz w:val="28"/>
          <w:szCs w:val="28"/>
          <w:u w:val="single"/>
        </w:rPr>
        <w:t>Summary of findings</w:t>
      </w:r>
    </w:p>
    <w:p w:rsidR="00CA7F6D" w:rsidRPr="00CA7F6D" w:rsidRDefault="00CA7F6D" w:rsidP="00CA7F6D">
      <w:pPr>
        <w:rPr>
          <w:sz w:val="24"/>
          <w:szCs w:val="24"/>
        </w:rPr>
      </w:pPr>
      <w:r w:rsidRPr="00CA7F6D">
        <w:rPr>
          <w:sz w:val="24"/>
          <w:szCs w:val="24"/>
        </w:rPr>
        <w:t xml:space="preserve">Protection plans were present in nearly all cases where risk was identified, and most were up to date. The best examples demonstrated clear, SMART (Specific, Measurable, Achievable, Relevant, Time-bound) actions, with responsibilities assigned and timescales defined and with a clear link back to identified risks within the risk assessment. These plans often reflected the adult’s wishes and were proportionate to the level of risk, showing a strong person-centred ethos. </w:t>
      </w:r>
    </w:p>
    <w:p w:rsidR="00CA7F6D" w:rsidRPr="00CA7F6D" w:rsidRDefault="00CA7F6D" w:rsidP="00CA7F6D">
      <w:pPr>
        <w:rPr>
          <w:sz w:val="24"/>
          <w:szCs w:val="24"/>
        </w:rPr>
      </w:pPr>
      <w:r w:rsidRPr="00CA7F6D">
        <w:rPr>
          <w:sz w:val="24"/>
          <w:szCs w:val="24"/>
        </w:rPr>
        <w:t xml:space="preserve">However, variability in quality was evident. Some plans lacked specificity, with vague actions and undefined outcomes. In a few cases, the protection plan did not fully align with the risks identified in the assessment and lacked contingency planning. There were also instances where the plan was embedded in case conference minutes rather than recorded in a structured format, making it harder to monitor progress. Feedback also highlighted that Case Conference minutes (which form the ASP4 Protection Plan) can have significant delays and there was not an explanation in the case notes to account for this. That means that an individual is clearly identified as ‘at risk’ and the Case Conference may have taken place, but there is nothing within the case file to reflect this. This is a gap within the ASP process which needs addressing, particularly as there were clear and timely risk assessments on file, but then a ‘drop off’ when it came to protection planning.  </w:t>
      </w:r>
    </w:p>
    <w:p w:rsidR="00C20412" w:rsidRDefault="00CA7F6D" w:rsidP="00CA7F6D">
      <w:pPr>
        <w:rPr>
          <w:sz w:val="24"/>
          <w:szCs w:val="24"/>
        </w:rPr>
      </w:pPr>
      <w:r w:rsidRPr="00CA7F6D">
        <w:rPr>
          <w:sz w:val="24"/>
          <w:szCs w:val="24"/>
        </w:rPr>
        <w:t xml:space="preserve">Multi-agency contributions were generally well-documented, but there were missed opportunities for deeper engagement with health professionals, housing, or advocacy services in some cases.  </w:t>
      </w:r>
    </w:p>
    <w:p w:rsidR="00CA7F6D" w:rsidRDefault="00CA7F6D" w:rsidP="4DD22D3C">
      <w:pPr>
        <w:rPr>
          <w:sz w:val="24"/>
          <w:szCs w:val="24"/>
        </w:rPr>
      </w:pPr>
    </w:p>
    <w:p w:rsidR="00CA7F6D" w:rsidRDefault="00761E34" w:rsidP="00761E34">
      <w:pPr>
        <w:pStyle w:val="ListParagraph"/>
        <w:numPr>
          <w:ilvl w:val="0"/>
          <w:numId w:val="1"/>
        </w:numPr>
        <w:rPr>
          <w:b/>
          <w:bCs/>
          <w:color w:val="0070C0"/>
          <w:sz w:val="28"/>
          <w:szCs w:val="28"/>
          <w:u w:val="single"/>
        </w:rPr>
      </w:pPr>
      <w:r w:rsidRPr="00761E34">
        <w:rPr>
          <w:b/>
          <w:bCs/>
          <w:color w:val="0070C0"/>
          <w:sz w:val="28"/>
          <w:szCs w:val="28"/>
          <w:u w:val="single"/>
        </w:rPr>
        <w:t xml:space="preserve">Outcomes </w:t>
      </w:r>
    </w:p>
    <w:p w:rsidR="00761E34" w:rsidRDefault="008928FD" w:rsidP="00761E34">
      <w:pPr>
        <w:rPr>
          <w:color w:val="000000" w:themeColor="text1"/>
          <w:sz w:val="24"/>
          <w:szCs w:val="24"/>
        </w:rPr>
      </w:pPr>
      <w:r w:rsidRPr="008928FD">
        <w:rPr>
          <w:color w:val="000000" w:themeColor="text1"/>
          <w:sz w:val="24"/>
          <w:szCs w:val="24"/>
          <w:lang w:val="en-US"/>
        </w:rPr>
        <w:t>This section assesses the outcomes for individuals following intervention.</w:t>
      </w:r>
      <w:r w:rsidRPr="008928FD">
        <w:rPr>
          <w:color w:val="000000" w:themeColor="text1"/>
          <w:sz w:val="24"/>
          <w:szCs w:val="24"/>
        </w:rPr>
        <w:t> </w:t>
      </w:r>
    </w:p>
    <w:p w:rsidR="008928FD" w:rsidRPr="000C1090" w:rsidRDefault="008928FD" w:rsidP="000C1090">
      <w:pPr>
        <w:pStyle w:val="ListParagraph"/>
        <w:numPr>
          <w:ilvl w:val="0"/>
          <w:numId w:val="19"/>
        </w:numPr>
        <w:ind w:left="1077" w:hanging="357"/>
        <w:rPr>
          <w:color w:val="0070C0"/>
          <w:sz w:val="28"/>
          <w:szCs w:val="28"/>
        </w:rPr>
      </w:pPr>
      <w:r w:rsidRPr="000C1090">
        <w:rPr>
          <w:color w:val="0070C0"/>
          <w:sz w:val="28"/>
          <w:szCs w:val="28"/>
        </w:rPr>
        <w:lastRenderedPageBreak/>
        <w:t xml:space="preserve">Improvement </w:t>
      </w:r>
      <w:r w:rsidR="000C1090" w:rsidRPr="000C1090">
        <w:rPr>
          <w:color w:val="0070C0"/>
          <w:sz w:val="28"/>
          <w:szCs w:val="28"/>
        </w:rPr>
        <w:t>in safety and wellbeing:</w:t>
      </w:r>
    </w:p>
    <w:p w:rsidR="00C12266" w:rsidRDefault="00CA763E" w:rsidP="00CA763E">
      <w:pPr>
        <w:jc w:val="center"/>
        <w:rPr>
          <w:color w:val="0070C0"/>
          <w:sz w:val="28"/>
          <w:szCs w:val="28"/>
        </w:rPr>
      </w:pPr>
      <w:r>
        <w:rPr>
          <w:noProof/>
          <w:lang w:eastAsia="en-GB"/>
        </w:rPr>
        <w:drawing>
          <wp:inline distT="0" distB="0" distL="0" distR="0">
            <wp:extent cx="5762624" cy="3949041"/>
            <wp:effectExtent l="0" t="0" r="0" b="9525"/>
            <wp:docPr id="1467427882" name="Picture 1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2624" cy="3949041"/>
                    </a:xfrm>
                    <a:prstGeom prst="rect">
                      <a:avLst/>
                    </a:prstGeom>
                  </pic:spPr>
                </pic:pic>
              </a:graphicData>
            </a:graphic>
          </wp:inline>
        </w:drawing>
      </w:r>
      <w:r>
        <w:br/>
      </w:r>
    </w:p>
    <w:p w:rsidR="00CA763E" w:rsidRDefault="00265FDF" w:rsidP="00265FDF">
      <w:pPr>
        <w:rPr>
          <w:color w:val="0070C0"/>
          <w:sz w:val="28"/>
          <w:szCs w:val="28"/>
          <w:u w:val="single"/>
        </w:rPr>
      </w:pPr>
      <w:r w:rsidRPr="00265FDF">
        <w:rPr>
          <w:color w:val="0070C0"/>
          <w:sz w:val="28"/>
          <w:szCs w:val="28"/>
          <w:u w:val="single"/>
        </w:rPr>
        <w:t>55% of individuals experienced improvement in circumstances following the Protection Plan implementation </w:t>
      </w:r>
    </w:p>
    <w:p w:rsidR="00265FDF" w:rsidRDefault="00265FDF" w:rsidP="00265FDF">
      <w:pPr>
        <w:rPr>
          <w:color w:val="0070C0"/>
          <w:sz w:val="28"/>
          <w:szCs w:val="28"/>
          <w:u w:val="single"/>
        </w:rPr>
      </w:pPr>
    </w:p>
    <w:p w:rsidR="00C44D56" w:rsidRDefault="00C44D56" w:rsidP="00664070">
      <w:pPr>
        <w:pStyle w:val="ListParagraph"/>
        <w:numPr>
          <w:ilvl w:val="0"/>
          <w:numId w:val="19"/>
        </w:numPr>
        <w:ind w:left="1077" w:hanging="357"/>
        <w:rPr>
          <w:color w:val="0070C0"/>
          <w:sz w:val="28"/>
          <w:szCs w:val="28"/>
          <w:u w:val="single"/>
        </w:rPr>
      </w:pPr>
      <w:r w:rsidRPr="00C44D56">
        <w:rPr>
          <w:color w:val="0070C0"/>
          <w:sz w:val="28"/>
          <w:szCs w:val="28"/>
          <w:u w:val="single"/>
        </w:rPr>
        <w:t>Comments from audit readers on</w:t>
      </w:r>
      <w:r w:rsidR="00664070">
        <w:rPr>
          <w:color w:val="0070C0"/>
          <w:sz w:val="28"/>
          <w:szCs w:val="28"/>
          <w:u w:val="single"/>
        </w:rPr>
        <w:t xml:space="preserve"> outcomes:</w:t>
      </w:r>
    </w:p>
    <w:p w:rsidR="007A38B8" w:rsidRPr="007A38B8" w:rsidRDefault="007A38B8" w:rsidP="007A38B8">
      <w:pPr>
        <w:numPr>
          <w:ilvl w:val="0"/>
          <w:numId w:val="41"/>
        </w:numPr>
        <w:ind w:left="1077" w:hanging="357"/>
        <w:rPr>
          <w:color w:val="0070C0"/>
          <w:sz w:val="28"/>
          <w:szCs w:val="28"/>
        </w:rPr>
      </w:pPr>
      <w:r w:rsidRPr="007A38B8">
        <w:rPr>
          <w:color w:val="0070C0"/>
          <w:sz w:val="28"/>
          <w:szCs w:val="28"/>
          <w:lang w:val="en-US"/>
        </w:rPr>
        <w:t>Key Strengths:</w:t>
      </w:r>
    </w:p>
    <w:p w:rsidR="007A38B8" w:rsidRPr="007A38B8" w:rsidRDefault="007A38B8" w:rsidP="007A38B8">
      <w:pPr>
        <w:numPr>
          <w:ilvl w:val="0"/>
          <w:numId w:val="42"/>
        </w:numPr>
        <w:rPr>
          <w:color w:val="000000" w:themeColor="text1"/>
          <w:sz w:val="24"/>
          <w:szCs w:val="24"/>
        </w:rPr>
      </w:pPr>
      <w:r w:rsidRPr="007A38B8">
        <w:rPr>
          <w:color w:val="000000" w:themeColor="text1"/>
          <w:sz w:val="24"/>
          <w:szCs w:val="24"/>
        </w:rPr>
        <w:t>“Initial action taken through a multi-agency approach to deliver a co-ordinated response to protect the individual from harm.” </w:t>
      </w:r>
    </w:p>
    <w:p w:rsidR="007A38B8" w:rsidRPr="007A38B8" w:rsidRDefault="007A38B8" w:rsidP="007A38B8">
      <w:pPr>
        <w:numPr>
          <w:ilvl w:val="0"/>
          <w:numId w:val="43"/>
        </w:numPr>
        <w:rPr>
          <w:color w:val="000000" w:themeColor="text1"/>
          <w:sz w:val="24"/>
          <w:szCs w:val="24"/>
        </w:rPr>
      </w:pPr>
      <w:r w:rsidRPr="007A38B8">
        <w:rPr>
          <w:color w:val="000000" w:themeColor="text1"/>
          <w:sz w:val="24"/>
          <w:szCs w:val="24"/>
        </w:rPr>
        <w:t>“Proportionate and person centred as the plan and outcome is in line with the individuals wishes and ensures support around key issues as well as monitoring risks but without the requirement for ASP to continue (least restrictive).” </w:t>
      </w:r>
    </w:p>
    <w:p w:rsidR="007A38B8" w:rsidRDefault="007A38B8" w:rsidP="007A38B8">
      <w:pPr>
        <w:numPr>
          <w:ilvl w:val="0"/>
          <w:numId w:val="44"/>
        </w:numPr>
        <w:rPr>
          <w:color w:val="000000" w:themeColor="text1"/>
          <w:sz w:val="24"/>
          <w:szCs w:val="24"/>
        </w:rPr>
      </w:pPr>
      <w:r w:rsidRPr="007A38B8">
        <w:rPr>
          <w:color w:val="000000" w:themeColor="text1"/>
          <w:sz w:val="24"/>
          <w:szCs w:val="24"/>
        </w:rPr>
        <w:t>“Multi-agency working between social work, health services, care providers and day centre supported in addressing health needs, improving mobility, improving dietary intake and social inclusion.” </w:t>
      </w:r>
    </w:p>
    <w:p w:rsidR="007A38B8" w:rsidRDefault="007A38B8" w:rsidP="007A38B8">
      <w:pPr>
        <w:rPr>
          <w:color w:val="000000" w:themeColor="text1"/>
          <w:sz w:val="24"/>
          <w:szCs w:val="24"/>
        </w:rPr>
      </w:pPr>
    </w:p>
    <w:p w:rsidR="007A38B8" w:rsidRPr="007A38B8" w:rsidRDefault="007A38B8" w:rsidP="007A38B8">
      <w:pPr>
        <w:rPr>
          <w:color w:val="000000" w:themeColor="text1"/>
          <w:sz w:val="24"/>
          <w:szCs w:val="24"/>
        </w:rPr>
      </w:pPr>
    </w:p>
    <w:p w:rsidR="007A38B8" w:rsidRPr="007A38B8" w:rsidRDefault="007A38B8" w:rsidP="007A38B8">
      <w:pPr>
        <w:numPr>
          <w:ilvl w:val="0"/>
          <w:numId w:val="45"/>
        </w:numPr>
        <w:ind w:left="1077" w:hanging="357"/>
        <w:rPr>
          <w:color w:val="0070C0"/>
          <w:sz w:val="28"/>
          <w:szCs w:val="28"/>
        </w:rPr>
      </w:pPr>
      <w:r w:rsidRPr="007A38B8">
        <w:rPr>
          <w:color w:val="0070C0"/>
          <w:sz w:val="28"/>
          <w:szCs w:val="28"/>
        </w:rPr>
        <w:t>Needs Improvement: </w:t>
      </w:r>
    </w:p>
    <w:p w:rsidR="007A38B8" w:rsidRPr="007A38B8" w:rsidRDefault="007A38B8" w:rsidP="007A38B8">
      <w:pPr>
        <w:numPr>
          <w:ilvl w:val="0"/>
          <w:numId w:val="46"/>
        </w:numPr>
        <w:rPr>
          <w:color w:val="000000" w:themeColor="text1"/>
          <w:sz w:val="24"/>
          <w:szCs w:val="24"/>
        </w:rPr>
      </w:pPr>
      <w:r w:rsidRPr="007A38B8">
        <w:rPr>
          <w:color w:val="000000" w:themeColor="text1"/>
          <w:sz w:val="24"/>
          <w:szCs w:val="24"/>
        </w:rPr>
        <w:lastRenderedPageBreak/>
        <w:t>“Whilst not captured in ASP, case notes state that client had numerous engagements with addictions services but did not engage – this may be personal choice or lack of a service which can adapt to her needs.” </w:t>
      </w:r>
    </w:p>
    <w:p w:rsidR="007A38B8" w:rsidRDefault="007A38B8" w:rsidP="007A38B8">
      <w:pPr>
        <w:numPr>
          <w:ilvl w:val="0"/>
          <w:numId w:val="47"/>
        </w:numPr>
        <w:rPr>
          <w:color w:val="000000" w:themeColor="text1"/>
          <w:sz w:val="24"/>
          <w:szCs w:val="24"/>
        </w:rPr>
      </w:pPr>
      <w:r w:rsidRPr="007A38B8">
        <w:rPr>
          <w:color w:val="000000" w:themeColor="text1"/>
          <w:sz w:val="24"/>
          <w:szCs w:val="24"/>
        </w:rPr>
        <w:t>“Further recognition should have been given to on-going risks that were raised in the review case conference in relation to the decision to close the ASP – it felt a little disjointed/didn’t show the full decision-making process.” </w:t>
      </w:r>
    </w:p>
    <w:p w:rsidR="004C09E4" w:rsidRDefault="004C09E4" w:rsidP="007A38B8">
      <w:pPr>
        <w:numPr>
          <w:ilvl w:val="0"/>
          <w:numId w:val="47"/>
        </w:numPr>
        <w:rPr>
          <w:color w:val="000000" w:themeColor="text1"/>
          <w:sz w:val="24"/>
          <w:szCs w:val="24"/>
        </w:rPr>
      </w:pPr>
      <w:r w:rsidRPr="004C09E4">
        <w:rPr>
          <w:color w:val="000000" w:themeColor="text1"/>
          <w:sz w:val="24"/>
          <w:szCs w:val="24"/>
        </w:rPr>
        <w:t xml:space="preserve">“Clearer outcomes required in the protection planning stage. The </w:t>
      </w:r>
      <w:proofErr w:type="gramStart"/>
      <w:r w:rsidRPr="004C09E4">
        <w:rPr>
          <w:color w:val="000000" w:themeColor="text1"/>
          <w:sz w:val="24"/>
          <w:szCs w:val="24"/>
        </w:rPr>
        <w:t>clients</w:t>
      </w:r>
      <w:proofErr w:type="gramEnd"/>
      <w:r w:rsidRPr="004C09E4">
        <w:rPr>
          <w:color w:val="000000" w:themeColor="text1"/>
          <w:sz w:val="24"/>
          <w:szCs w:val="24"/>
        </w:rPr>
        <w:t xml:space="preserve"> voice was not strong in the assessment.” </w:t>
      </w:r>
    </w:p>
    <w:p w:rsidR="004C09E4" w:rsidRDefault="004C09E4" w:rsidP="004C09E4">
      <w:pPr>
        <w:rPr>
          <w:color w:val="000000" w:themeColor="text1"/>
          <w:sz w:val="24"/>
          <w:szCs w:val="24"/>
        </w:rPr>
      </w:pPr>
    </w:p>
    <w:p w:rsidR="004C09E4" w:rsidRDefault="004C09E4" w:rsidP="004C09E4">
      <w:pPr>
        <w:pStyle w:val="ListParagraph"/>
        <w:numPr>
          <w:ilvl w:val="0"/>
          <w:numId w:val="1"/>
        </w:numPr>
        <w:rPr>
          <w:b/>
          <w:bCs/>
          <w:color w:val="0070C0"/>
          <w:sz w:val="28"/>
          <w:szCs w:val="28"/>
          <w:u w:val="single"/>
        </w:rPr>
      </w:pPr>
      <w:r w:rsidRPr="004C09E4">
        <w:rPr>
          <w:b/>
          <w:bCs/>
          <w:color w:val="0070C0"/>
          <w:sz w:val="28"/>
          <w:szCs w:val="28"/>
          <w:u w:val="single"/>
        </w:rPr>
        <w:t xml:space="preserve">Conclusion </w:t>
      </w:r>
    </w:p>
    <w:p w:rsidR="007D1DAA" w:rsidRPr="007D1DAA" w:rsidRDefault="007D1DAA" w:rsidP="007D1DAA">
      <w:pPr>
        <w:rPr>
          <w:sz w:val="24"/>
          <w:szCs w:val="24"/>
        </w:rPr>
      </w:pPr>
      <w:r w:rsidRPr="007D1DAA">
        <w:rPr>
          <w:sz w:val="24"/>
          <w:szCs w:val="24"/>
        </w:rPr>
        <w:t xml:space="preserve">The audit paints a picture of a dedicated workforce for ASP operating within a complex and often challenging landscape. There is clear evidence of good practice, particularly in multi-agency collaboration, timely interventions for risk, and analysis and evidenced decision making in supporting the person. Many adults experienced improved safety and wellbeing as a result of the ASP process. </w:t>
      </w:r>
    </w:p>
    <w:p w:rsidR="007D1DAA" w:rsidRPr="007D1DAA" w:rsidRDefault="007D1DAA" w:rsidP="007D1DAA">
      <w:pPr>
        <w:rPr>
          <w:sz w:val="24"/>
          <w:szCs w:val="24"/>
        </w:rPr>
      </w:pPr>
    </w:p>
    <w:p w:rsidR="004C09E4" w:rsidRPr="007D1DAA" w:rsidRDefault="007D1DAA" w:rsidP="007D1DAA">
      <w:pPr>
        <w:rPr>
          <w:sz w:val="24"/>
          <w:szCs w:val="24"/>
        </w:rPr>
      </w:pPr>
      <w:r w:rsidRPr="007D1DAA">
        <w:rPr>
          <w:sz w:val="24"/>
          <w:szCs w:val="24"/>
        </w:rPr>
        <w:t>However, the audit also highlights inconsistencies in the quality of documentation, analysis, and planning. While procedural compliance is high, the depth and clarity of professional reasoning varies. This can impact the effectiveness of interventions and in particular protection planning activity. The audit also underscores the importance of capturing the adult’s voice and ensuring that plans are not only protective but also in line with the principles of the ASP Act, person-centred and trauma informed.</w:t>
      </w:r>
    </w:p>
    <w:p w:rsidR="00265FDF" w:rsidRDefault="00265FDF" w:rsidP="00265FDF">
      <w:pPr>
        <w:rPr>
          <w:color w:val="000000" w:themeColor="text1"/>
          <w:sz w:val="24"/>
          <w:szCs w:val="24"/>
        </w:rPr>
      </w:pPr>
    </w:p>
    <w:p w:rsidR="007D1DAA" w:rsidRDefault="007D1DAA" w:rsidP="00A108B5">
      <w:pPr>
        <w:pStyle w:val="ListParagraph"/>
        <w:numPr>
          <w:ilvl w:val="0"/>
          <w:numId w:val="19"/>
        </w:numPr>
        <w:ind w:left="1077" w:hanging="357"/>
        <w:rPr>
          <w:color w:val="0070C0"/>
          <w:sz w:val="28"/>
          <w:szCs w:val="28"/>
          <w:u w:val="single"/>
        </w:rPr>
      </w:pPr>
      <w:r>
        <w:rPr>
          <w:color w:val="0070C0"/>
          <w:sz w:val="28"/>
          <w:szCs w:val="28"/>
          <w:u w:val="single"/>
        </w:rPr>
        <w:t xml:space="preserve">Key </w:t>
      </w:r>
      <w:r w:rsidR="00A108B5">
        <w:rPr>
          <w:color w:val="0070C0"/>
          <w:sz w:val="28"/>
          <w:szCs w:val="28"/>
          <w:u w:val="single"/>
        </w:rPr>
        <w:t>r</w:t>
      </w:r>
      <w:r>
        <w:rPr>
          <w:color w:val="0070C0"/>
          <w:sz w:val="28"/>
          <w:szCs w:val="28"/>
          <w:u w:val="single"/>
        </w:rPr>
        <w:t>ec</w:t>
      </w:r>
      <w:r w:rsidR="00A108B5">
        <w:rPr>
          <w:color w:val="0070C0"/>
          <w:sz w:val="28"/>
          <w:szCs w:val="28"/>
          <w:u w:val="single"/>
        </w:rPr>
        <w:t>ommendations for improvement:</w:t>
      </w:r>
    </w:p>
    <w:p w:rsidR="00A67556" w:rsidRPr="00A67556" w:rsidRDefault="00A67556" w:rsidP="006C1EC7">
      <w:pPr>
        <w:pStyle w:val="ListParagraph"/>
        <w:numPr>
          <w:ilvl w:val="0"/>
          <w:numId w:val="48"/>
        </w:numPr>
        <w:spacing w:line="360" w:lineRule="auto"/>
        <w:rPr>
          <w:sz w:val="24"/>
          <w:szCs w:val="24"/>
        </w:rPr>
      </w:pPr>
      <w:r w:rsidRPr="00A44669">
        <w:rPr>
          <w:b/>
          <w:bCs/>
          <w:sz w:val="24"/>
          <w:szCs w:val="24"/>
        </w:rPr>
        <w:t>Strengthen Risk Analysis Skills</w:t>
      </w:r>
      <w:r w:rsidRPr="00A67556">
        <w:rPr>
          <w:sz w:val="24"/>
          <w:szCs w:val="24"/>
        </w:rPr>
        <w:t xml:space="preserve">: Provide targeted training (or include within Level 3) on risk analysis and outcome-focused report writing to enhance the quality of assessments and plans. </w:t>
      </w:r>
    </w:p>
    <w:p w:rsidR="00A67556" w:rsidRPr="00A67556" w:rsidRDefault="00A67556" w:rsidP="006C1EC7">
      <w:pPr>
        <w:pStyle w:val="ListParagraph"/>
        <w:numPr>
          <w:ilvl w:val="0"/>
          <w:numId w:val="48"/>
        </w:numPr>
        <w:spacing w:line="360" w:lineRule="auto"/>
        <w:rPr>
          <w:sz w:val="24"/>
          <w:szCs w:val="24"/>
        </w:rPr>
      </w:pPr>
      <w:r w:rsidRPr="00A44669">
        <w:rPr>
          <w:b/>
          <w:bCs/>
          <w:sz w:val="24"/>
          <w:szCs w:val="24"/>
        </w:rPr>
        <w:t>Standardise Protection Plans</w:t>
      </w:r>
      <w:r w:rsidRPr="00A67556">
        <w:rPr>
          <w:sz w:val="24"/>
          <w:szCs w:val="24"/>
        </w:rPr>
        <w:t xml:space="preserve">: Provide more in-depth training and guidance for protection plans to ensure clarity, consistency, and improved quality as well as improved adherence to timescales. </w:t>
      </w:r>
    </w:p>
    <w:p w:rsidR="00A67556" w:rsidRPr="00A67556" w:rsidRDefault="00A67556" w:rsidP="006C1EC7">
      <w:pPr>
        <w:pStyle w:val="ListParagraph"/>
        <w:numPr>
          <w:ilvl w:val="0"/>
          <w:numId w:val="48"/>
        </w:numPr>
        <w:spacing w:line="360" w:lineRule="auto"/>
        <w:rPr>
          <w:sz w:val="24"/>
          <w:szCs w:val="24"/>
        </w:rPr>
      </w:pPr>
      <w:r w:rsidRPr="00A44669">
        <w:rPr>
          <w:b/>
          <w:bCs/>
          <w:sz w:val="24"/>
          <w:szCs w:val="24"/>
        </w:rPr>
        <w:t>Enhance Multi-Agency Engagement</w:t>
      </w:r>
      <w:r w:rsidRPr="00A67556">
        <w:rPr>
          <w:sz w:val="24"/>
          <w:szCs w:val="24"/>
        </w:rPr>
        <w:t xml:space="preserve">: Formalise expectations for contributions from health, housing, and advocacy partners, especially in complex cases. </w:t>
      </w:r>
    </w:p>
    <w:p w:rsidR="00A67556" w:rsidRPr="00A67556" w:rsidRDefault="00A67556" w:rsidP="006C1EC7">
      <w:pPr>
        <w:pStyle w:val="ListParagraph"/>
        <w:numPr>
          <w:ilvl w:val="0"/>
          <w:numId w:val="48"/>
        </w:numPr>
        <w:spacing w:line="360" w:lineRule="auto"/>
        <w:rPr>
          <w:sz w:val="24"/>
          <w:szCs w:val="24"/>
        </w:rPr>
      </w:pPr>
      <w:r w:rsidRPr="00A44669">
        <w:rPr>
          <w:b/>
          <w:bCs/>
          <w:sz w:val="24"/>
          <w:szCs w:val="24"/>
        </w:rPr>
        <w:t>Address Systemic Barriers</w:t>
      </w:r>
      <w:r w:rsidRPr="00A67556">
        <w:rPr>
          <w:sz w:val="24"/>
          <w:szCs w:val="24"/>
        </w:rPr>
        <w:t xml:space="preserve">: Identify and escalate delays in service provision, capacity assessments, and case recording that hinder timely protective actions. </w:t>
      </w:r>
    </w:p>
    <w:p w:rsidR="00A67556" w:rsidRPr="00A67556" w:rsidRDefault="00A67556" w:rsidP="006C1EC7">
      <w:pPr>
        <w:pStyle w:val="ListParagraph"/>
        <w:numPr>
          <w:ilvl w:val="0"/>
          <w:numId w:val="48"/>
        </w:numPr>
        <w:spacing w:line="360" w:lineRule="auto"/>
        <w:rPr>
          <w:sz w:val="24"/>
          <w:szCs w:val="24"/>
        </w:rPr>
      </w:pPr>
      <w:r w:rsidRPr="00A44669">
        <w:rPr>
          <w:b/>
          <w:bCs/>
          <w:sz w:val="24"/>
          <w:szCs w:val="24"/>
        </w:rPr>
        <w:t>Improve Processes</w:t>
      </w:r>
      <w:r w:rsidRPr="00A67556">
        <w:rPr>
          <w:sz w:val="24"/>
          <w:szCs w:val="24"/>
        </w:rPr>
        <w:t xml:space="preserve">: Review and update the Case Conference and Protection Planning procedures in line with the identified areas for improvement.  </w:t>
      </w:r>
    </w:p>
    <w:p w:rsidR="00A108B5" w:rsidRPr="00A67556" w:rsidRDefault="00A67556" w:rsidP="006C1EC7">
      <w:pPr>
        <w:pStyle w:val="ListParagraph"/>
        <w:numPr>
          <w:ilvl w:val="0"/>
          <w:numId w:val="48"/>
        </w:numPr>
        <w:spacing w:line="360" w:lineRule="auto"/>
        <w:rPr>
          <w:sz w:val="24"/>
          <w:szCs w:val="24"/>
        </w:rPr>
      </w:pPr>
      <w:r w:rsidRPr="00A44669">
        <w:rPr>
          <w:b/>
          <w:bCs/>
          <w:sz w:val="24"/>
          <w:szCs w:val="24"/>
        </w:rPr>
        <w:t>Embed Reflective Practice</w:t>
      </w:r>
      <w:r w:rsidRPr="00A67556">
        <w:rPr>
          <w:sz w:val="24"/>
          <w:szCs w:val="24"/>
        </w:rPr>
        <w:t>: Promote professional reflective supervision, leadership and peer review to support continuous improvement in adult protection work.</w:t>
      </w:r>
    </w:p>
    <w:sectPr w:rsidR="00A108B5" w:rsidRPr="00A67556" w:rsidSect="002D4C7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5605"/>
    <w:multiLevelType w:val="hybridMultilevel"/>
    <w:tmpl w:val="68505F8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5B5285D"/>
    <w:multiLevelType w:val="multilevel"/>
    <w:tmpl w:val="853AA8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933E9"/>
    <w:multiLevelType w:val="multilevel"/>
    <w:tmpl w:val="77206C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A09F9"/>
    <w:multiLevelType w:val="multilevel"/>
    <w:tmpl w:val="A16A0D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ED004CF"/>
    <w:multiLevelType w:val="multilevel"/>
    <w:tmpl w:val="622487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D74DD5"/>
    <w:multiLevelType w:val="multilevel"/>
    <w:tmpl w:val="4964D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016243"/>
    <w:multiLevelType w:val="multilevel"/>
    <w:tmpl w:val="04F0E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DA62A3"/>
    <w:multiLevelType w:val="multilevel"/>
    <w:tmpl w:val="8AAA05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275EB2"/>
    <w:multiLevelType w:val="hybridMultilevel"/>
    <w:tmpl w:val="A94A2DD2"/>
    <w:lvl w:ilvl="0" w:tplc="404299E2">
      <w:start w:val="1"/>
      <w:numFmt w:val="bullet"/>
      <w:lvlText w:val="o"/>
      <w:lvlJc w:val="left"/>
      <w:pPr>
        <w:ind w:left="1069" w:hanging="360"/>
      </w:pPr>
      <w:rPr>
        <w:rFonts w:ascii="Courier New" w:hAnsi="Courier New" w:cs="Courier New" w:hint="default"/>
        <w:color w:val="0070C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5131FEB"/>
    <w:multiLevelType w:val="multilevel"/>
    <w:tmpl w:val="82B8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5DB2C6D"/>
    <w:multiLevelType w:val="multilevel"/>
    <w:tmpl w:val="27E8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6E61CBC"/>
    <w:multiLevelType w:val="multilevel"/>
    <w:tmpl w:val="FE8602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17F41D7A"/>
    <w:multiLevelType w:val="multilevel"/>
    <w:tmpl w:val="2300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9EE71CE"/>
    <w:multiLevelType w:val="multilevel"/>
    <w:tmpl w:val="5C687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5F71C2"/>
    <w:multiLevelType w:val="multilevel"/>
    <w:tmpl w:val="E31E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27B073C"/>
    <w:multiLevelType w:val="hybridMultilevel"/>
    <w:tmpl w:val="654453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23314FD0"/>
    <w:multiLevelType w:val="multilevel"/>
    <w:tmpl w:val="369A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5654576"/>
    <w:multiLevelType w:val="multilevel"/>
    <w:tmpl w:val="1AE4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DD90E8A"/>
    <w:multiLevelType w:val="multilevel"/>
    <w:tmpl w:val="CCB2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EE25F97"/>
    <w:multiLevelType w:val="multilevel"/>
    <w:tmpl w:val="E49E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E72301"/>
    <w:multiLevelType w:val="multilevel"/>
    <w:tmpl w:val="0686A3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ED00E4"/>
    <w:multiLevelType w:val="multilevel"/>
    <w:tmpl w:val="9954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63D0A50"/>
    <w:multiLevelType w:val="multilevel"/>
    <w:tmpl w:val="B3A8E4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C50514"/>
    <w:multiLevelType w:val="multilevel"/>
    <w:tmpl w:val="2406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C332537"/>
    <w:multiLevelType w:val="multilevel"/>
    <w:tmpl w:val="CD44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CDE5003"/>
    <w:multiLevelType w:val="multilevel"/>
    <w:tmpl w:val="AB1E2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B34AAB"/>
    <w:multiLevelType w:val="multilevel"/>
    <w:tmpl w:val="85A8E9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407171A8"/>
    <w:multiLevelType w:val="multilevel"/>
    <w:tmpl w:val="0C10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8772FE3"/>
    <w:multiLevelType w:val="multilevel"/>
    <w:tmpl w:val="AE126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5E6126"/>
    <w:multiLevelType w:val="multilevel"/>
    <w:tmpl w:val="779C2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0D131F"/>
    <w:multiLevelType w:val="multilevel"/>
    <w:tmpl w:val="62E0B7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4DA57F2E"/>
    <w:multiLevelType w:val="multilevel"/>
    <w:tmpl w:val="BBFAF9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D524AF"/>
    <w:multiLevelType w:val="multilevel"/>
    <w:tmpl w:val="E774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F8147ED"/>
    <w:multiLevelType w:val="multilevel"/>
    <w:tmpl w:val="47EEEB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7D7305"/>
    <w:multiLevelType w:val="multilevel"/>
    <w:tmpl w:val="D05619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1CF4A03"/>
    <w:multiLevelType w:val="hybridMultilevel"/>
    <w:tmpl w:val="C2C806E8"/>
    <w:lvl w:ilvl="0" w:tplc="A240F868">
      <w:start w:val="1"/>
      <w:numFmt w:val="decimal"/>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2392908"/>
    <w:multiLevelType w:val="multilevel"/>
    <w:tmpl w:val="A316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6F948D3"/>
    <w:multiLevelType w:val="multilevel"/>
    <w:tmpl w:val="26B20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A6A5EC2"/>
    <w:multiLevelType w:val="multilevel"/>
    <w:tmpl w:val="E61EB5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C207646"/>
    <w:multiLevelType w:val="multilevel"/>
    <w:tmpl w:val="55EA4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EC5677F"/>
    <w:multiLevelType w:val="multilevel"/>
    <w:tmpl w:val="77C8A1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703375"/>
    <w:multiLevelType w:val="multilevel"/>
    <w:tmpl w:val="7B947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A9F10DA"/>
    <w:multiLevelType w:val="multilevel"/>
    <w:tmpl w:val="61963E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6BEF7298"/>
    <w:multiLevelType w:val="multilevel"/>
    <w:tmpl w:val="219E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30B3D8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88F67D8"/>
    <w:multiLevelType w:val="multilevel"/>
    <w:tmpl w:val="3FEA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AE14D89"/>
    <w:multiLevelType w:val="multilevel"/>
    <w:tmpl w:val="6F684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6B134C"/>
    <w:multiLevelType w:val="multilevel"/>
    <w:tmpl w:val="DF0086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5"/>
  </w:num>
  <w:num w:numId="2">
    <w:abstractNumId w:val="8"/>
  </w:num>
  <w:num w:numId="3">
    <w:abstractNumId w:val="14"/>
  </w:num>
  <w:num w:numId="4">
    <w:abstractNumId w:val="12"/>
  </w:num>
  <w:num w:numId="5">
    <w:abstractNumId w:val="3"/>
  </w:num>
  <w:num w:numId="6">
    <w:abstractNumId w:val="46"/>
  </w:num>
  <w:num w:numId="7">
    <w:abstractNumId w:val="13"/>
  </w:num>
  <w:num w:numId="8">
    <w:abstractNumId w:val="41"/>
  </w:num>
  <w:num w:numId="9">
    <w:abstractNumId w:val="11"/>
  </w:num>
  <w:num w:numId="10">
    <w:abstractNumId w:val="33"/>
  </w:num>
  <w:num w:numId="11">
    <w:abstractNumId w:val="22"/>
  </w:num>
  <w:num w:numId="12">
    <w:abstractNumId w:val="1"/>
  </w:num>
  <w:num w:numId="13">
    <w:abstractNumId w:val="26"/>
  </w:num>
  <w:num w:numId="14">
    <w:abstractNumId w:val="2"/>
  </w:num>
  <w:num w:numId="15">
    <w:abstractNumId w:val="39"/>
  </w:num>
  <w:num w:numId="16">
    <w:abstractNumId w:val="10"/>
  </w:num>
  <w:num w:numId="17">
    <w:abstractNumId w:val="32"/>
  </w:num>
  <w:num w:numId="18">
    <w:abstractNumId w:val="18"/>
  </w:num>
  <w:num w:numId="19">
    <w:abstractNumId w:val="15"/>
  </w:num>
  <w:num w:numId="20">
    <w:abstractNumId w:val="7"/>
  </w:num>
  <w:num w:numId="21">
    <w:abstractNumId w:val="5"/>
  </w:num>
  <w:num w:numId="22">
    <w:abstractNumId w:val="28"/>
  </w:num>
  <w:num w:numId="23">
    <w:abstractNumId w:val="36"/>
  </w:num>
  <w:num w:numId="24">
    <w:abstractNumId w:val="21"/>
  </w:num>
  <w:num w:numId="25">
    <w:abstractNumId w:val="24"/>
  </w:num>
  <w:num w:numId="26">
    <w:abstractNumId w:val="45"/>
  </w:num>
  <w:num w:numId="27">
    <w:abstractNumId w:val="34"/>
  </w:num>
  <w:num w:numId="28">
    <w:abstractNumId w:val="37"/>
  </w:num>
  <w:num w:numId="29">
    <w:abstractNumId w:val="4"/>
  </w:num>
  <w:num w:numId="30">
    <w:abstractNumId w:val="9"/>
  </w:num>
  <w:num w:numId="31">
    <w:abstractNumId w:val="23"/>
  </w:num>
  <w:num w:numId="32">
    <w:abstractNumId w:val="16"/>
  </w:num>
  <w:num w:numId="33">
    <w:abstractNumId w:val="43"/>
  </w:num>
  <w:num w:numId="34">
    <w:abstractNumId w:val="47"/>
  </w:num>
  <w:num w:numId="35">
    <w:abstractNumId w:val="40"/>
  </w:num>
  <w:num w:numId="36">
    <w:abstractNumId w:val="29"/>
  </w:num>
  <w:num w:numId="37">
    <w:abstractNumId w:val="17"/>
  </w:num>
  <w:num w:numId="38">
    <w:abstractNumId w:val="27"/>
  </w:num>
  <w:num w:numId="39">
    <w:abstractNumId w:val="19"/>
  </w:num>
  <w:num w:numId="40">
    <w:abstractNumId w:val="0"/>
  </w:num>
  <w:num w:numId="41">
    <w:abstractNumId w:val="42"/>
  </w:num>
  <w:num w:numId="42">
    <w:abstractNumId w:val="38"/>
  </w:num>
  <w:num w:numId="43">
    <w:abstractNumId w:val="20"/>
  </w:num>
  <w:num w:numId="44">
    <w:abstractNumId w:val="6"/>
  </w:num>
  <w:num w:numId="45">
    <w:abstractNumId w:val="30"/>
  </w:num>
  <w:num w:numId="46">
    <w:abstractNumId w:val="25"/>
  </w:num>
  <w:num w:numId="47">
    <w:abstractNumId w:val="31"/>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0A71"/>
    <w:rsid w:val="0004159F"/>
    <w:rsid w:val="000C1090"/>
    <w:rsid w:val="0011223F"/>
    <w:rsid w:val="001B66D0"/>
    <w:rsid w:val="001E5C5A"/>
    <w:rsid w:val="001F248B"/>
    <w:rsid w:val="00212874"/>
    <w:rsid w:val="00265FDF"/>
    <w:rsid w:val="002A4CE5"/>
    <w:rsid w:val="002D4C74"/>
    <w:rsid w:val="002E4025"/>
    <w:rsid w:val="00391B5C"/>
    <w:rsid w:val="003A41F4"/>
    <w:rsid w:val="0045683A"/>
    <w:rsid w:val="004861DB"/>
    <w:rsid w:val="004B2C55"/>
    <w:rsid w:val="004C09E4"/>
    <w:rsid w:val="004F4FBC"/>
    <w:rsid w:val="00525BD7"/>
    <w:rsid w:val="0054465D"/>
    <w:rsid w:val="00572C6C"/>
    <w:rsid w:val="0057647F"/>
    <w:rsid w:val="005C3A12"/>
    <w:rsid w:val="005E0A71"/>
    <w:rsid w:val="00664070"/>
    <w:rsid w:val="006850D3"/>
    <w:rsid w:val="00695203"/>
    <w:rsid w:val="006C1EC7"/>
    <w:rsid w:val="007177B4"/>
    <w:rsid w:val="00727831"/>
    <w:rsid w:val="00761E34"/>
    <w:rsid w:val="00764F6C"/>
    <w:rsid w:val="00766114"/>
    <w:rsid w:val="00781823"/>
    <w:rsid w:val="007A38B8"/>
    <w:rsid w:val="007B7970"/>
    <w:rsid w:val="007D1DAA"/>
    <w:rsid w:val="00837E7B"/>
    <w:rsid w:val="00851B9C"/>
    <w:rsid w:val="008928FD"/>
    <w:rsid w:val="00896975"/>
    <w:rsid w:val="008A3BEA"/>
    <w:rsid w:val="00941A4E"/>
    <w:rsid w:val="00950EC0"/>
    <w:rsid w:val="00A108B5"/>
    <w:rsid w:val="00A44669"/>
    <w:rsid w:val="00A61915"/>
    <w:rsid w:val="00A67556"/>
    <w:rsid w:val="00AA42ED"/>
    <w:rsid w:val="00B16200"/>
    <w:rsid w:val="00B1720E"/>
    <w:rsid w:val="00C12266"/>
    <w:rsid w:val="00C20412"/>
    <w:rsid w:val="00C21DA4"/>
    <w:rsid w:val="00C44D56"/>
    <w:rsid w:val="00CA763E"/>
    <w:rsid w:val="00CA7F6D"/>
    <w:rsid w:val="00CC17DB"/>
    <w:rsid w:val="00D2387D"/>
    <w:rsid w:val="00DC1370"/>
    <w:rsid w:val="00DD3423"/>
    <w:rsid w:val="00E37F92"/>
    <w:rsid w:val="00ED2B0C"/>
    <w:rsid w:val="08FABC0E"/>
    <w:rsid w:val="3E654C9E"/>
    <w:rsid w:val="4DD22D3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47F"/>
  </w:style>
  <w:style w:type="paragraph" w:styleId="Heading1">
    <w:name w:val="heading 1"/>
    <w:basedOn w:val="Normal"/>
    <w:next w:val="Normal"/>
    <w:link w:val="Heading1Char"/>
    <w:uiPriority w:val="9"/>
    <w:qFormat/>
    <w:rsid w:val="005E0A7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E0A7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E0A7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E0A7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E0A7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E0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A7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E0A7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E0A7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E0A7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E0A7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E0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A71"/>
    <w:rPr>
      <w:rFonts w:eastAsiaTheme="majorEastAsia" w:cstheme="majorBidi"/>
      <w:color w:val="272727" w:themeColor="text1" w:themeTint="D8"/>
    </w:rPr>
  </w:style>
  <w:style w:type="paragraph" w:styleId="Title">
    <w:name w:val="Title"/>
    <w:basedOn w:val="Normal"/>
    <w:next w:val="Normal"/>
    <w:link w:val="TitleChar"/>
    <w:uiPriority w:val="10"/>
    <w:qFormat/>
    <w:rsid w:val="005E0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A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A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0A71"/>
    <w:rPr>
      <w:i/>
      <w:iCs/>
      <w:color w:val="404040" w:themeColor="text1" w:themeTint="BF"/>
    </w:rPr>
  </w:style>
  <w:style w:type="paragraph" w:styleId="ListParagraph">
    <w:name w:val="List Paragraph"/>
    <w:basedOn w:val="Normal"/>
    <w:uiPriority w:val="34"/>
    <w:qFormat/>
    <w:rsid w:val="005E0A71"/>
    <w:pPr>
      <w:ind w:left="720"/>
      <w:contextualSpacing/>
    </w:pPr>
  </w:style>
  <w:style w:type="character" w:styleId="IntenseEmphasis">
    <w:name w:val="Intense Emphasis"/>
    <w:basedOn w:val="DefaultParagraphFont"/>
    <w:uiPriority w:val="21"/>
    <w:qFormat/>
    <w:rsid w:val="005E0A71"/>
    <w:rPr>
      <w:i/>
      <w:iCs/>
      <w:color w:val="365F91" w:themeColor="accent1" w:themeShade="BF"/>
    </w:rPr>
  </w:style>
  <w:style w:type="paragraph" w:styleId="IntenseQuote">
    <w:name w:val="Intense Quote"/>
    <w:basedOn w:val="Normal"/>
    <w:next w:val="Normal"/>
    <w:link w:val="IntenseQuoteChar"/>
    <w:uiPriority w:val="30"/>
    <w:qFormat/>
    <w:rsid w:val="005E0A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0A71"/>
    <w:rPr>
      <w:i/>
      <w:iCs/>
      <w:color w:val="365F91" w:themeColor="accent1" w:themeShade="BF"/>
    </w:rPr>
  </w:style>
  <w:style w:type="character" w:styleId="IntenseReference">
    <w:name w:val="Intense Reference"/>
    <w:basedOn w:val="DefaultParagraphFont"/>
    <w:uiPriority w:val="32"/>
    <w:qFormat/>
    <w:rsid w:val="005E0A71"/>
    <w:rPr>
      <w:b/>
      <w:bCs/>
      <w:smallCaps/>
      <w:color w:val="365F91" w:themeColor="accent1" w:themeShade="BF"/>
      <w:spacing w:val="5"/>
    </w:rPr>
  </w:style>
  <w:style w:type="paragraph" w:customStyle="1" w:styleId="paragraph">
    <w:name w:val="paragraph"/>
    <w:basedOn w:val="Normal"/>
    <w:rsid w:val="002D4C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4C74"/>
  </w:style>
  <w:style w:type="character" w:customStyle="1" w:styleId="eop">
    <w:name w:val="eop"/>
    <w:basedOn w:val="DefaultParagraphFont"/>
    <w:rsid w:val="002D4C74"/>
  </w:style>
  <w:style w:type="character" w:customStyle="1" w:styleId="scxw193479471">
    <w:name w:val="scxw193479471"/>
    <w:basedOn w:val="DefaultParagraphFont"/>
    <w:rsid w:val="00950EC0"/>
  </w:style>
  <w:style w:type="character" w:customStyle="1" w:styleId="scxw118787062">
    <w:name w:val="scxw118787062"/>
    <w:basedOn w:val="DefaultParagraphFont"/>
    <w:rsid w:val="004861DB"/>
  </w:style>
  <w:style w:type="character" w:customStyle="1" w:styleId="wacimagecontainer">
    <w:name w:val="wacimagecontainer"/>
    <w:basedOn w:val="DefaultParagraphFont"/>
    <w:rsid w:val="00941A4E"/>
  </w:style>
  <w:style w:type="paragraph" w:styleId="BalloonText">
    <w:name w:val="Balloon Text"/>
    <w:basedOn w:val="Normal"/>
    <w:link w:val="BalloonTextChar"/>
    <w:uiPriority w:val="99"/>
    <w:semiHidden/>
    <w:unhideWhenUsed/>
    <w:rsid w:val="00AA4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9222">
      <w:bodyDiv w:val="1"/>
      <w:marLeft w:val="0"/>
      <w:marRight w:val="0"/>
      <w:marTop w:val="0"/>
      <w:marBottom w:val="0"/>
      <w:divBdr>
        <w:top w:val="none" w:sz="0" w:space="0" w:color="auto"/>
        <w:left w:val="none" w:sz="0" w:space="0" w:color="auto"/>
        <w:bottom w:val="none" w:sz="0" w:space="0" w:color="auto"/>
        <w:right w:val="none" w:sz="0" w:space="0" w:color="auto"/>
      </w:divBdr>
      <w:divsChild>
        <w:div w:id="1110931927">
          <w:marLeft w:val="0"/>
          <w:marRight w:val="0"/>
          <w:marTop w:val="0"/>
          <w:marBottom w:val="0"/>
          <w:divBdr>
            <w:top w:val="none" w:sz="0" w:space="0" w:color="auto"/>
            <w:left w:val="none" w:sz="0" w:space="0" w:color="auto"/>
            <w:bottom w:val="none" w:sz="0" w:space="0" w:color="auto"/>
            <w:right w:val="none" w:sz="0" w:space="0" w:color="auto"/>
          </w:divBdr>
        </w:div>
        <w:div w:id="1416632700">
          <w:marLeft w:val="0"/>
          <w:marRight w:val="0"/>
          <w:marTop w:val="0"/>
          <w:marBottom w:val="0"/>
          <w:divBdr>
            <w:top w:val="none" w:sz="0" w:space="0" w:color="auto"/>
            <w:left w:val="none" w:sz="0" w:space="0" w:color="auto"/>
            <w:bottom w:val="none" w:sz="0" w:space="0" w:color="auto"/>
            <w:right w:val="none" w:sz="0" w:space="0" w:color="auto"/>
          </w:divBdr>
        </w:div>
        <w:div w:id="818881148">
          <w:marLeft w:val="0"/>
          <w:marRight w:val="0"/>
          <w:marTop w:val="0"/>
          <w:marBottom w:val="0"/>
          <w:divBdr>
            <w:top w:val="none" w:sz="0" w:space="0" w:color="auto"/>
            <w:left w:val="none" w:sz="0" w:space="0" w:color="auto"/>
            <w:bottom w:val="none" w:sz="0" w:space="0" w:color="auto"/>
            <w:right w:val="none" w:sz="0" w:space="0" w:color="auto"/>
          </w:divBdr>
        </w:div>
      </w:divsChild>
    </w:div>
    <w:div w:id="375930968">
      <w:bodyDiv w:val="1"/>
      <w:marLeft w:val="0"/>
      <w:marRight w:val="0"/>
      <w:marTop w:val="0"/>
      <w:marBottom w:val="0"/>
      <w:divBdr>
        <w:top w:val="none" w:sz="0" w:space="0" w:color="auto"/>
        <w:left w:val="none" w:sz="0" w:space="0" w:color="auto"/>
        <w:bottom w:val="none" w:sz="0" w:space="0" w:color="auto"/>
        <w:right w:val="none" w:sz="0" w:space="0" w:color="auto"/>
      </w:divBdr>
      <w:divsChild>
        <w:div w:id="946548861">
          <w:marLeft w:val="0"/>
          <w:marRight w:val="0"/>
          <w:marTop w:val="0"/>
          <w:marBottom w:val="0"/>
          <w:divBdr>
            <w:top w:val="none" w:sz="0" w:space="0" w:color="auto"/>
            <w:left w:val="none" w:sz="0" w:space="0" w:color="auto"/>
            <w:bottom w:val="none" w:sz="0" w:space="0" w:color="auto"/>
            <w:right w:val="none" w:sz="0" w:space="0" w:color="auto"/>
          </w:divBdr>
        </w:div>
        <w:div w:id="1182816709">
          <w:marLeft w:val="0"/>
          <w:marRight w:val="0"/>
          <w:marTop w:val="0"/>
          <w:marBottom w:val="0"/>
          <w:divBdr>
            <w:top w:val="none" w:sz="0" w:space="0" w:color="auto"/>
            <w:left w:val="none" w:sz="0" w:space="0" w:color="auto"/>
            <w:bottom w:val="none" w:sz="0" w:space="0" w:color="auto"/>
            <w:right w:val="none" w:sz="0" w:space="0" w:color="auto"/>
          </w:divBdr>
        </w:div>
        <w:div w:id="107898637">
          <w:marLeft w:val="0"/>
          <w:marRight w:val="0"/>
          <w:marTop w:val="0"/>
          <w:marBottom w:val="0"/>
          <w:divBdr>
            <w:top w:val="none" w:sz="0" w:space="0" w:color="auto"/>
            <w:left w:val="none" w:sz="0" w:space="0" w:color="auto"/>
            <w:bottom w:val="none" w:sz="0" w:space="0" w:color="auto"/>
            <w:right w:val="none" w:sz="0" w:space="0" w:color="auto"/>
          </w:divBdr>
        </w:div>
      </w:divsChild>
    </w:div>
    <w:div w:id="518158319">
      <w:bodyDiv w:val="1"/>
      <w:marLeft w:val="0"/>
      <w:marRight w:val="0"/>
      <w:marTop w:val="0"/>
      <w:marBottom w:val="0"/>
      <w:divBdr>
        <w:top w:val="none" w:sz="0" w:space="0" w:color="auto"/>
        <w:left w:val="none" w:sz="0" w:space="0" w:color="auto"/>
        <w:bottom w:val="none" w:sz="0" w:space="0" w:color="auto"/>
        <w:right w:val="none" w:sz="0" w:space="0" w:color="auto"/>
      </w:divBdr>
    </w:div>
    <w:div w:id="562914690">
      <w:bodyDiv w:val="1"/>
      <w:marLeft w:val="0"/>
      <w:marRight w:val="0"/>
      <w:marTop w:val="0"/>
      <w:marBottom w:val="0"/>
      <w:divBdr>
        <w:top w:val="none" w:sz="0" w:space="0" w:color="auto"/>
        <w:left w:val="none" w:sz="0" w:space="0" w:color="auto"/>
        <w:bottom w:val="none" w:sz="0" w:space="0" w:color="auto"/>
        <w:right w:val="none" w:sz="0" w:space="0" w:color="auto"/>
      </w:divBdr>
      <w:divsChild>
        <w:div w:id="862207116">
          <w:marLeft w:val="0"/>
          <w:marRight w:val="0"/>
          <w:marTop w:val="0"/>
          <w:marBottom w:val="0"/>
          <w:divBdr>
            <w:top w:val="none" w:sz="0" w:space="0" w:color="auto"/>
            <w:left w:val="none" w:sz="0" w:space="0" w:color="auto"/>
            <w:bottom w:val="none" w:sz="0" w:space="0" w:color="auto"/>
            <w:right w:val="none" w:sz="0" w:space="0" w:color="auto"/>
          </w:divBdr>
        </w:div>
        <w:div w:id="1406220985">
          <w:marLeft w:val="0"/>
          <w:marRight w:val="0"/>
          <w:marTop w:val="0"/>
          <w:marBottom w:val="0"/>
          <w:divBdr>
            <w:top w:val="none" w:sz="0" w:space="0" w:color="auto"/>
            <w:left w:val="none" w:sz="0" w:space="0" w:color="auto"/>
            <w:bottom w:val="none" w:sz="0" w:space="0" w:color="auto"/>
            <w:right w:val="none" w:sz="0" w:space="0" w:color="auto"/>
          </w:divBdr>
        </w:div>
        <w:div w:id="1722509490">
          <w:marLeft w:val="0"/>
          <w:marRight w:val="0"/>
          <w:marTop w:val="0"/>
          <w:marBottom w:val="0"/>
          <w:divBdr>
            <w:top w:val="none" w:sz="0" w:space="0" w:color="auto"/>
            <w:left w:val="none" w:sz="0" w:space="0" w:color="auto"/>
            <w:bottom w:val="none" w:sz="0" w:space="0" w:color="auto"/>
            <w:right w:val="none" w:sz="0" w:space="0" w:color="auto"/>
          </w:divBdr>
        </w:div>
      </w:divsChild>
    </w:div>
    <w:div w:id="718167906">
      <w:bodyDiv w:val="1"/>
      <w:marLeft w:val="0"/>
      <w:marRight w:val="0"/>
      <w:marTop w:val="0"/>
      <w:marBottom w:val="0"/>
      <w:divBdr>
        <w:top w:val="none" w:sz="0" w:space="0" w:color="auto"/>
        <w:left w:val="none" w:sz="0" w:space="0" w:color="auto"/>
        <w:bottom w:val="none" w:sz="0" w:space="0" w:color="auto"/>
        <w:right w:val="none" w:sz="0" w:space="0" w:color="auto"/>
      </w:divBdr>
    </w:div>
    <w:div w:id="777725269">
      <w:bodyDiv w:val="1"/>
      <w:marLeft w:val="0"/>
      <w:marRight w:val="0"/>
      <w:marTop w:val="0"/>
      <w:marBottom w:val="0"/>
      <w:divBdr>
        <w:top w:val="none" w:sz="0" w:space="0" w:color="auto"/>
        <w:left w:val="none" w:sz="0" w:space="0" w:color="auto"/>
        <w:bottom w:val="none" w:sz="0" w:space="0" w:color="auto"/>
        <w:right w:val="none" w:sz="0" w:space="0" w:color="auto"/>
      </w:divBdr>
    </w:div>
    <w:div w:id="853767711">
      <w:bodyDiv w:val="1"/>
      <w:marLeft w:val="0"/>
      <w:marRight w:val="0"/>
      <w:marTop w:val="0"/>
      <w:marBottom w:val="0"/>
      <w:divBdr>
        <w:top w:val="none" w:sz="0" w:space="0" w:color="auto"/>
        <w:left w:val="none" w:sz="0" w:space="0" w:color="auto"/>
        <w:bottom w:val="none" w:sz="0" w:space="0" w:color="auto"/>
        <w:right w:val="none" w:sz="0" w:space="0" w:color="auto"/>
      </w:divBdr>
    </w:div>
    <w:div w:id="998727149">
      <w:bodyDiv w:val="1"/>
      <w:marLeft w:val="0"/>
      <w:marRight w:val="0"/>
      <w:marTop w:val="0"/>
      <w:marBottom w:val="0"/>
      <w:divBdr>
        <w:top w:val="none" w:sz="0" w:space="0" w:color="auto"/>
        <w:left w:val="none" w:sz="0" w:space="0" w:color="auto"/>
        <w:bottom w:val="none" w:sz="0" w:space="0" w:color="auto"/>
        <w:right w:val="none" w:sz="0" w:space="0" w:color="auto"/>
      </w:divBdr>
    </w:div>
    <w:div w:id="1135103895">
      <w:bodyDiv w:val="1"/>
      <w:marLeft w:val="0"/>
      <w:marRight w:val="0"/>
      <w:marTop w:val="0"/>
      <w:marBottom w:val="0"/>
      <w:divBdr>
        <w:top w:val="none" w:sz="0" w:space="0" w:color="auto"/>
        <w:left w:val="none" w:sz="0" w:space="0" w:color="auto"/>
        <w:bottom w:val="none" w:sz="0" w:space="0" w:color="auto"/>
        <w:right w:val="none" w:sz="0" w:space="0" w:color="auto"/>
      </w:divBdr>
    </w:div>
    <w:div w:id="1245257854">
      <w:bodyDiv w:val="1"/>
      <w:marLeft w:val="0"/>
      <w:marRight w:val="0"/>
      <w:marTop w:val="0"/>
      <w:marBottom w:val="0"/>
      <w:divBdr>
        <w:top w:val="none" w:sz="0" w:space="0" w:color="auto"/>
        <w:left w:val="none" w:sz="0" w:space="0" w:color="auto"/>
        <w:bottom w:val="none" w:sz="0" w:space="0" w:color="auto"/>
        <w:right w:val="none" w:sz="0" w:space="0" w:color="auto"/>
      </w:divBdr>
    </w:div>
    <w:div w:id="1341472587">
      <w:bodyDiv w:val="1"/>
      <w:marLeft w:val="0"/>
      <w:marRight w:val="0"/>
      <w:marTop w:val="0"/>
      <w:marBottom w:val="0"/>
      <w:divBdr>
        <w:top w:val="none" w:sz="0" w:space="0" w:color="auto"/>
        <w:left w:val="none" w:sz="0" w:space="0" w:color="auto"/>
        <w:bottom w:val="none" w:sz="0" w:space="0" w:color="auto"/>
        <w:right w:val="none" w:sz="0" w:space="0" w:color="auto"/>
      </w:divBdr>
      <w:divsChild>
        <w:div w:id="1101953124">
          <w:marLeft w:val="0"/>
          <w:marRight w:val="0"/>
          <w:marTop w:val="0"/>
          <w:marBottom w:val="0"/>
          <w:divBdr>
            <w:top w:val="none" w:sz="0" w:space="0" w:color="auto"/>
            <w:left w:val="none" w:sz="0" w:space="0" w:color="auto"/>
            <w:bottom w:val="none" w:sz="0" w:space="0" w:color="auto"/>
            <w:right w:val="none" w:sz="0" w:space="0" w:color="auto"/>
          </w:divBdr>
        </w:div>
        <w:div w:id="1085301426">
          <w:marLeft w:val="0"/>
          <w:marRight w:val="0"/>
          <w:marTop w:val="0"/>
          <w:marBottom w:val="0"/>
          <w:divBdr>
            <w:top w:val="none" w:sz="0" w:space="0" w:color="auto"/>
            <w:left w:val="none" w:sz="0" w:space="0" w:color="auto"/>
            <w:bottom w:val="none" w:sz="0" w:space="0" w:color="auto"/>
            <w:right w:val="none" w:sz="0" w:space="0" w:color="auto"/>
          </w:divBdr>
        </w:div>
        <w:div w:id="2084259947">
          <w:marLeft w:val="0"/>
          <w:marRight w:val="0"/>
          <w:marTop w:val="0"/>
          <w:marBottom w:val="0"/>
          <w:divBdr>
            <w:top w:val="none" w:sz="0" w:space="0" w:color="auto"/>
            <w:left w:val="none" w:sz="0" w:space="0" w:color="auto"/>
            <w:bottom w:val="none" w:sz="0" w:space="0" w:color="auto"/>
            <w:right w:val="none" w:sz="0" w:space="0" w:color="auto"/>
          </w:divBdr>
        </w:div>
      </w:divsChild>
    </w:div>
    <w:div w:id="1463616953">
      <w:bodyDiv w:val="1"/>
      <w:marLeft w:val="0"/>
      <w:marRight w:val="0"/>
      <w:marTop w:val="0"/>
      <w:marBottom w:val="0"/>
      <w:divBdr>
        <w:top w:val="none" w:sz="0" w:space="0" w:color="auto"/>
        <w:left w:val="none" w:sz="0" w:space="0" w:color="auto"/>
        <w:bottom w:val="none" w:sz="0" w:space="0" w:color="auto"/>
        <w:right w:val="none" w:sz="0" w:space="0" w:color="auto"/>
      </w:divBdr>
    </w:div>
    <w:div w:id="1562012223">
      <w:bodyDiv w:val="1"/>
      <w:marLeft w:val="0"/>
      <w:marRight w:val="0"/>
      <w:marTop w:val="0"/>
      <w:marBottom w:val="0"/>
      <w:divBdr>
        <w:top w:val="none" w:sz="0" w:space="0" w:color="auto"/>
        <w:left w:val="none" w:sz="0" w:space="0" w:color="auto"/>
        <w:bottom w:val="none" w:sz="0" w:space="0" w:color="auto"/>
        <w:right w:val="none" w:sz="0" w:space="0" w:color="auto"/>
      </w:divBdr>
    </w:div>
    <w:div w:id="1706904657">
      <w:bodyDiv w:val="1"/>
      <w:marLeft w:val="0"/>
      <w:marRight w:val="0"/>
      <w:marTop w:val="0"/>
      <w:marBottom w:val="0"/>
      <w:divBdr>
        <w:top w:val="none" w:sz="0" w:space="0" w:color="auto"/>
        <w:left w:val="none" w:sz="0" w:space="0" w:color="auto"/>
        <w:bottom w:val="none" w:sz="0" w:space="0" w:color="auto"/>
        <w:right w:val="none" w:sz="0" w:space="0" w:color="auto"/>
      </w:divBdr>
      <w:divsChild>
        <w:div w:id="1546987637">
          <w:marLeft w:val="0"/>
          <w:marRight w:val="0"/>
          <w:marTop w:val="0"/>
          <w:marBottom w:val="0"/>
          <w:divBdr>
            <w:top w:val="none" w:sz="0" w:space="0" w:color="auto"/>
            <w:left w:val="none" w:sz="0" w:space="0" w:color="auto"/>
            <w:bottom w:val="none" w:sz="0" w:space="0" w:color="auto"/>
            <w:right w:val="none" w:sz="0" w:space="0" w:color="auto"/>
          </w:divBdr>
        </w:div>
        <w:div w:id="795686008">
          <w:marLeft w:val="0"/>
          <w:marRight w:val="0"/>
          <w:marTop w:val="0"/>
          <w:marBottom w:val="0"/>
          <w:divBdr>
            <w:top w:val="none" w:sz="0" w:space="0" w:color="auto"/>
            <w:left w:val="none" w:sz="0" w:space="0" w:color="auto"/>
            <w:bottom w:val="none" w:sz="0" w:space="0" w:color="auto"/>
            <w:right w:val="none" w:sz="0" w:space="0" w:color="auto"/>
          </w:divBdr>
        </w:div>
      </w:divsChild>
    </w:div>
    <w:div w:id="183182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office.com/Pages/AnalysisPage.aspx?AnalyzerToken=hiy9CApEsTdJA1B1ZWPStE4aXkWmzgxE&amp;id=veDvEDCgykuAnLXmdF5JmnNfQe7AvQ9LmaEdztPKbolUNDYyTlROQUtSMTdUN0JPWEQwT0w3MDM1Ui4u" TargetMode="Externa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s://www.careinspectorate.com/images/documents/7788/Quality%20framework%20for%20ASP%20September%202024.pdf" TargetMode="Externa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1995</Words>
  <Characters>11374</Characters>
  <Application>Microsoft Office Word</Application>
  <DocSecurity>0</DocSecurity>
  <Lines>94</Lines>
  <Paragraphs>26</Paragraphs>
  <ScaleCrop>false</ScaleCrop>
  <Company>NHS Highland</Company>
  <LinksUpToDate>false</LinksUpToDate>
  <CharactersWithSpaces>13343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Eilidh Smith (NHS Highland)</dc:creator>
  <cp:lastModifiedBy>mgilb02</cp:lastModifiedBy>
  <cp:revision>2</cp:revision>
  <dcterms:created xsi:type="dcterms:W3CDTF">2025-09-23T15:24:00Z</dcterms:created>
  <dcterms:modified xsi:type="dcterms:W3CDTF">2025-09-23T15:24:00Z</dcterms:modified>
</cp:coreProperties>
</file>